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26" w:rsidRDefault="000444A9">
      <w:pPr>
        <w:pStyle w:val="1"/>
        <w:spacing w:before="73"/>
        <w:ind w:left="6"/>
      </w:pPr>
      <w:bookmarkStart w:id="0" w:name="Қаржы_департаменті"/>
      <w:bookmarkEnd w:id="0"/>
      <w:r>
        <w:t>Finans</w:t>
      </w:r>
      <w:r>
        <w:rPr>
          <w:spacing w:val="-15"/>
        </w:rPr>
        <w:t xml:space="preserve"> </w:t>
      </w:r>
      <w:r>
        <w:rPr>
          <w:spacing w:val="-2"/>
        </w:rPr>
        <w:t>departman</w:t>
      </w:r>
    </w:p>
    <w:p w:rsidR="00D30E26" w:rsidRDefault="00D30E26">
      <w:pPr>
        <w:pStyle w:val="a3"/>
        <w:spacing w:before="5"/>
        <w:ind w:left="0"/>
        <w:jc w:val="left"/>
        <w:rPr>
          <w:b/>
        </w:rPr>
      </w:pPr>
    </w:p>
    <w:p w:rsidR="00D30E26" w:rsidRDefault="000444A9">
      <w:pPr>
        <w:pStyle w:val="a3"/>
        <w:ind w:right="718" w:firstLine="705"/>
      </w:pPr>
      <w:r>
        <w:t>Üniversitenin bakımı için gelir planlaması sırasında cumhuriyet bütçesinden uygulanan yüksek ve yükseköğretim sonrası kurumlar</w:t>
      </w:r>
      <w:r>
        <w:rPr>
          <w:spacing w:val="-1"/>
        </w:rPr>
        <w:t xml:space="preserve"> </w:t>
      </w:r>
      <w:r>
        <w:t>bilgi</w:t>
      </w:r>
      <w:r>
        <w:rPr>
          <w:spacing w:val="-1"/>
        </w:rPr>
        <w:t xml:space="preserve"> </w:t>
      </w:r>
      <w:r>
        <w:t>tüm uzmanlar</w:t>
      </w:r>
      <w:r>
        <w:rPr>
          <w:spacing w:val="-1"/>
        </w:rPr>
        <w:t xml:space="preserve"> </w:t>
      </w:r>
      <w:r>
        <w:t>hazırlık için</w:t>
      </w:r>
      <w:r>
        <w:rPr>
          <w:spacing w:val="-1"/>
        </w:rPr>
        <w:t xml:space="preserve"> </w:t>
      </w:r>
      <w:r>
        <w:t>durum</w:t>
      </w:r>
      <w:r>
        <w:rPr>
          <w:spacing w:val="-1"/>
        </w:rPr>
        <w:t xml:space="preserve"> </w:t>
      </w:r>
      <w:r>
        <w:t>Bir eğitim emrinin yerine getirilmesi için finansman tutarları dikkate alınır:</w:t>
      </w:r>
    </w:p>
    <w:p w:rsidR="00D30E26" w:rsidRDefault="000444A9">
      <w:pPr>
        <w:pStyle w:val="a4"/>
        <w:numPr>
          <w:ilvl w:val="0"/>
          <w:numId w:val="2"/>
        </w:numPr>
        <w:tabs>
          <w:tab w:val="left" w:pos="1283"/>
        </w:tabs>
        <w:spacing w:before="6"/>
        <w:ind w:left="1283" w:hanging="358"/>
        <w:rPr>
          <w:sz w:val="28"/>
        </w:rPr>
      </w:pPr>
      <w:r>
        <w:rPr>
          <w:sz w:val="28"/>
        </w:rPr>
        <w:t>Bilim</w:t>
      </w:r>
      <w:r>
        <w:rPr>
          <w:spacing w:val="-5"/>
          <w:sz w:val="28"/>
        </w:rPr>
        <w:t xml:space="preserve"> </w:t>
      </w:r>
      <w:r>
        <w:rPr>
          <w:sz w:val="28"/>
        </w:rPr>
        <w:t>Ve</w:t>
      </w:r>
      <w:r>
        <w:rPr>
          <w:spacing w:val="-4"/>
          <w:sz w:val="28"/>
        </w:rPr>
        <w:t xml:space="preserve"> </w:t>
      </w:r>
      <w:r>
        <w:rPr>
          <w:sz w:val="28"/>
        </w:rPr>
        <w:t>yukarı</w:t>
      </w:r>
      <w:r>
        <w:rPr>
          <w:spacing w:val="-5"/>
          <w:sz w:val="28"/>
        </w:rPr>
        <w:t xml:space="preserve"> </w:t>
      </w:r>
      <w:r>
        <w:rPr>
          <w:sz w:val="28"/>
        </w:rPr>
        <w:t>eğitim</w:t>
      </w:r>
      <w:r>
        <w:rPr>
          <w:spacing w:val="-4"/>
          <w:sz w:val="28"/>
        </w:rPr>
        <w:t xml:space="preserve"> </w:t>
      </w:r>
      <w:r>
        <w:rPr>
          <w:spacing w:val="-2"/>
          <w:sz w:val="28"/>
        </w:rPr>
        <w:t>bakanlık;</w:t>
      </w:r>
    </w:p>
    <w:p w:rsidR="00D30E26" w:rsidRDefault="000444A9">
      <w:pPr>
        <w:pStyle w:val="a4"/>
        <w:numPr>
          <w:ilvl w:val="0"/>
          <w:numId w:val="2"/>
        </w:numPr>
        <w:tabs>
          <w:tab w:val="left" w:pos="1283"/>
        </w:tabs>
        <w:spacing w:before="4"/>
        <w:ind w:left="1283" w:hanging="358"/>
        <w:rPr>
          <w:sz w:val="28"/>
        </w:rPr>
      </w:pPr>
      <w:r>
        <w:rPr>
          <w:sz w:val="28"/>
        </w:rPr>
        <w:t>Sağlık</w:t>
      </w:r>
      <w:r>
        <w:rPr>
          <w:spacing w:val="-5"/>
          <w:sz w:val="28"/>
        </w:rPr>
        <w:t xml:space="preserve"> </w:t>
      </w:r>
      <w:r>
        <w:rPr>
          <w:sz w:val="28"/>
        </w:rPr>
        <w:t>kaydetmek</w:t>
      </w:r>
      <w:r>
        <w:rPr>
          <w:spacing w:val="-8"/>
          <w:sz w:val="28"/>
        </w:rPr>
        <w:t xml:space="preserve"> </w:t>
      </w:r>
      <w:r>
        <w:rPr>
          <w:spacing w:val="-2"/>
          <w:sz w:val="28"/>
        </w:rPr>
        <w:t>bakanlık;</w:t>
      </w:r>
    </w:p>
    <w:p w:rsidR="00D30E26" w:rsidRDefault="000444A9">
      <w:pPr>
        <w:pStyle w:val="a4"/>
        <w:numPr>
          <w:ilvl w:val="0"/>
          <w:numId w:val="2"/>
        </w:numPr>
        <w:tabs>
          <w:tab w:val="left" w:pos="1283"/>
        </w:tabs>
        <w:spacing w:before="2"/>
        <w:ind w:left="1283" w:hanging="358"/>
        <w:rPr>
          <w:sz w:val="28"/>
        </w:rPr>
      </w:pPr>
      <w:r>
        <w:rPr>
          <w:sz w:val="28"/>
        </w:rPr>
        <w:t>Türkistan</w:t>
      </w:r>
      <w:r>
        <w:rPr>
          <w:spacing w:val="-7"/>
          <w:sz w:val="28"/>
        </w:rPr>
        <w:t xml:space="preserve"> </w:t>
      </w:r>
      <w:r>
        <w:rPr>
          <w:sz w:val="28"/>
        </w:rPr>
        <w:t>bölgenin</w:t>
      </w:r>
      <w:r>
        <w:rPr>
          <w:spacing w:val="-10"/>
          <w:sz w:val="28"/>
        </w:rPr>
        <w:t xml:space="preserve"> </w:t>
      </w:r>
      <w:r>
        <w:rPr>
          <w:sz w:val="28"/>
        </w:rPr>
        <w:t>eğitim</w:t>
      </w:r>
      <w:r>
        <w:rPr>
          <w:spacing w:val="-6"/>
          <w:sz w:val="28"/>
        </w:rPr>
        <w:t xml:space="preserve"> </w:t>
      </w:r>
      <w:r>
        <w:rPr>
          <w:spacing w:val="-2"/>
          <w:sz w:val="28"/>
        </w:rPr>
        <w:t>yönetim.</w:t>
      </w:r>
    </w:p>
    <w:p w:rsidR="00D30E26" w:rsidRDefault="000444A9">
      <w:pPr>
        <w:pStyle w:val="a3"/>
        <w:spacing w:before="5"/>
        <w:ind w:right="712" w:firstLine="705"/>
      </w:pPr>
      <w:r>
        <w:t>Eğitim kurumlarında yüksek öğrenim görmüş uzmanların yetiştirilmesine yönelik devlet eğitim görevinin maliyeti, her yıl Kazakistan Cumhuriyeti Hükümeti'nin ilgili kararı ile onaylanır. Cumhuriyet bütçesinden elde edilen gelirlerin miktarı doğrudan hibe kapsamında okuyan öğrencilerin durumuna bağlıdır.</w:t>
      </w:r>
    </w:p>
    <w:p w:rsidR="00D30E26" w:rsidRDefault="000444A9">
      <w:pPr>
        <w:pStyle w:val="a3"/>
        <w:spacing w:before="5"/>
        <w:ind w:right="709" w:firstLine="705"/>
      </w:pPr>
      <w:r>
        <w:t>Bir sonraki gelir kaynağı ise Kazakistan Cumhuriyeti'nin bütçe fonları miktarına eşit miktarda Türkiye Cumhuriyeti'nden gelen finansmandır (Not: üniversite dengeli bir şekilde sürdürülmektedir). Finansman</w:t>
      </w:r>
      <w:r>
        <w:rPr>
          <w:spacing w:val="-2"/>
        </w:rPr>
        <w:t xml:space="preserve"> </w:t>
      </w:r>
      <w:r>
        <w:t>üçüncü göze</w:t>
      </w:r>
      <w:r>
        <w:rPr>
          <w:spacing w:val="-1"/>
        </w:rPr>
        <w:t xml:space="preserve"> </w:t>
      </w:r>
      <w:r>
        <w:t>ücretli olarak öğrenciler</w:t>
      </w:r>
      <w:r>
        <w:rPr>
          <w:spacing w:val="-1"/>
        </w:rPr>
        <w:t xml:space="preserve"> </w:t>
      </w:r>
      <w:r>
        <w:t>eğitim için nakit makbuzları içerir. Diğer finansman kaynakları arasında Kazakistan Cumhuriyeti Bilim ve Yüksek Öğrenim Bakanlığı'ndan elde edilen gelir (hibe) ve bilimsel araştırma hizmetlerinin finansmanına yönelik Türkiye Cumhuriyeti bütçesi yer almaktadır. Finansman kaynaklarının istikrarı için öğrenci, yüksek lisans, doktora öğrencisi sayısının artırılması gerekiyor, çünkü üniversiteye her yıl öğrenci kabul edebilmek için finansman kaynaklarının istikrarı gerekiyor,</w:t>
      </w:r>
      <w:r>
        <w:rPr>
          <w:spacing w:val="80"/>
        </w:rPr>
        <w:t xml:space="preserve"> </w:t>
      </w:r>
      <w:r>
        <w:t>Bilim insanlarımızın hibe ihalesine katılması, bilimsel araştırma sözleşmeli işlerin yürütülmesi emrini almasıyla doğrudan ilgilidir. Aşağıdaki tabloda üniversitenin son 5 (beş) yıllık gelirine ilişkin bilgiler yer almaktadır:</w:t>
      </w:r>
    </w:p>
    <w:p w:rsidR="00D30E26" w:rsidRDefault="000444A9">
      <w:pPr>
        <w:pStyle w:val="1"/>
        <w:spacing w:before="213"/>
        <w:ind w:left="12"/>
      </w:pPr>
      <w:bookmarkStart w:id="1" w:name="Кесте_1._Деректер_мың_теңгемен"/>
      <w:bookmarkEnd w:id="1"/>
      <w:r>
        <w:t>Masa</w:t>
      </w:r>
      <w:r>
        <w:rPr>
          <w:spacing w:val="-16"/>
        </w:rPr>
        <w:t xml:space="preserve"> </w:t>
      </w:r>
      <w:r>
        <w:t>1.</w:t>
      </w:r>
      <w:r>
        <w:rPr>
          <w:spacing w:val="-12"/>
        </w:rPr>
        <w:t xml:space="preserve"> </w:t>
      </w:r>
      <w:r>
        <w:t>Veri</w:t>
      </w:r>
      <w:r>
        <w:rPr>
          <w:spacing w:val="-16"/>
        </w:rPr>
        <w:t xml:space="preserve"> </w:t>
      </w:r>
      <w:r>
        <w:t>bin</w:t>
      </w:r>
      <w:r>
        <w:rPr>
          <w:spacing w:val="-16"/>
        </w:rPr>
        <w:t xml:space="preserve"> </w:t>
      </w:r>
      <w:r>
        <w:rPr>
          <w:spacing w:val="-2"/>
        </w:rPr>
        <w:t>tenge olarak</w:t>
      </w:r>
    </w:p>
    <w:p w:rsidR="00D30E26" w:rsidRDefault="00D30E26">
      <w:pPr>
        <w:pStyle w:val="a3"/>
        <w:spacing w:before="1" w:after="1"/>
        <w:ind w:left="0"/>
        <w:jc w:val="left"/>
        <w:rPr>
          <w:b/>
          <w:sz w:val="1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3"/>
        <w:gridCol w:w="1594"/>
        <w:gridCol w:w="1594"/>
        <w:gridCol w:w="1599"/>
        <w:gridCol w:w="1596"/>
        <w:gridCol w:w="1772"/>
      </w:tblGrid>
      <w:tr w:rsidR="00D30E26">
        <w:trPr>
          <w:trHeight w:val="321"/>
        </w:trPr>
        <w:tc>
          <w:tcPr>
            <w:tcW w:w="1603" w:type="dxa"/>
          </w:tcPr>
          <w:p w:rsidR="00D30E26" w:rsidRDefault="00D30E26">
            <w:pPr>
              <w:pStyle w:val="TableParagraph"/>
              <w:spacing w:line="240" w:lineRule="auto"/>
              <w:ind w:left="0"/>
              <w:rPr>
                <w:sz w:val="24"/>
              </w:rPr>
            </w:pPr>
          </w:p>
        </w:tc>
        <w:tc>
          <w:tcPr>
            <w:tcW w:w="8155" w:type="dxa"/>
            <w:gridSpan w:val="5"/>
          </w:tcPr>
          <w:p w:rsidR="00D30E26" w:rsidRDefault="000444A9">
            <w:pPr>
              <w:pStyle w:val="TableParagraph"/>
              <w:spacing w:line="302" w:lineRule="exact"/>
              <w:ind w:left="29"/>
              <w:jc w:val="center"/>
              <w:rPr>
                <w:b/>
                <w:sz w:val="28"/>
              </w:rPr>
            </w:pPr>
            <w:r>
              <w:rPr>
                <w:b/>
                <w:spacing w:val="-2"/>
                <w:sz w:val="28"/>
              </w:rPr>
              <w:t>Yıllar</w:t>
            </w:r>
          </w:p>
        </w:tc>
      </w:tr>
      <w:tr w:rsidR="000444A9">
        <w:trPr>
          <w:trHeight w:val="321"/>
        </w:trPr>
        <w:tc>
          <w:tcPr>
            <w:tcW w:w="1603" w:type="dxa"/>
            <w:vMerge w:val="restart"/>
          </w:tcPr>
          <w:p w:rsidR="000444A9" w:rsidRDefault="000444A9" w:rsidP="000444A9">
            <w:pPr>
              <w:pStyle w:val="TableParagraph"/>
              <w:spacing w:line="317" w:lineRule="exact"/>
              <w:ind w:left="119"/>
              <w:rPr>
                <w:b/>
                <w:sz w:val="28"/>
              </w:rPr>
            </w:pPr>
            <w:r>
              <w:rPr>
                <w:b/>
                <w:spacing w:val="-2"/>
                <w:sz w:val="28"/>
              </w:rPr>
              <w:t>Gelirler</w:t>
            </w:r>
          </w:p>
        </w:tc>
        <w:tc>
          <w:tcPr>
            <w:tcW w:w="1594" w:type="dxa"/>
          </w:tcPr>
          <w:p w:rsidR="000444A9" w:rsidRDefault="000444A9" w:rsidP="000444A9">
            <w:pPr>
              <w:pStyle w:val="TableParagraph"/>
              <w:spacing w:line="301" w:lineRule="exact"/>
              <w:ind w:left="32" w:right="13"/>
              <w:jc w:val="center"/>
              <w:rPr>
                <w:b/>
                <w:sz w:val="28"/>
              </w:rPr>
            </w:pPr>
            <w:r>
              <w:rPr>
                <w:b/>
                <w:spacing w:val="-4"/>
                <w:sz w:val="28"/>
              </w:rPr>
              <w:t>2020</w:t>
            </w:r>
          </w:p>
        </w:tc>
        <w:tc>
          <w:tcPr>
            <w:tcW w:w="1594" w:type="dxa"/>
          </w:tcPr>
          <w:p w:rsidR="000444A9" w:rsidRDefault="000444A9" w:rsidP="000444A9">
            <w:pPr>
              <w:pStyle w:val="TableParagraph"/>
              <w:spacing w:line="301" w:lineRule="exact"/>
              <w:ind w:left="39" w:right="6"/>
              <w:jc w:val="center"/>
              <w:rPr>
                <w:b/>
                <w:sz w:val="28"/>
              </w:rPr>
            </w:pPr>
            <w:r>
              <w:rPr>
                <w:b/>
                <w:spacing w:val="-4"/>
                <w:sz w:val="28"/>
              </w:rPr>
              <w:t>2021</w:t>
            </w:r>
          </w:p>
        </w:tc>
        <w:tc>
          <w:tcPr>
            <w:tcW w:w="1599" w:type="dxa"/>
          </w:tcPr>
          <w:p w:rsidR="000444A9" w:rsidRDefault="000444A9" w:rsidP="000444A9">
            <w:pPr>
              <w:pStyle w:val="TableParagraph"/>
              <w:spacing w:line="301" w:lineRule="exact"/>
              <w:ind w:left="22"/>
              <w:jc w:val="center"/>
              <w:rPr>
                <w:b/>
                <w:sz w:val="28"/>
              </w:rPr>
            </w:pPr>
            <w:r>
              <w:rPr>
                <w:b/>
                <w:spacing w:val="-4"/>
                <w:sz w:val="28"/>
              </w:rPr>
              <w:t>2022</w:t>
            </w:r>
          </w:p>
        </w:tc>
        <w:tc>
          <w:tcPr>
            <w:tcW w:w="1596" w:type="dxa"/>
          </w:tcPr>
          <w:p w:rsidR="000444A9" w:rsidRDefault="000444A9" w:rsidP="000444A9">
            <w:pPr>
              <w:pStyle w:val="TableParagraph"/>
              <w:spacing w:line="301" w:lineRule="exact"/>
              <w:ind w:left="70" w:right="53"/>
              <w:jc w:val="center"/>
              <w:rPr>
                <w:b/>
                <w:sz w:val="28"/>
              </w:rPr>
            </w:pPr>
            <w:r>
              <w:rPr>
                <w:b/>
                <w:spacing w:val="-4"/>
                <w:sz w:val="28"/>
              </w:rPr>
              <w:t>2023</w:t>
            </w:r>
          </w:p>
        </w:tc>
        <w:tc>
          <w:tcPr>
            <w:tcW w:w="1772" w:type="dxa"/>
          </w:tcPr>
          <w:p w:rsidR="000444A9" w:rsidRDefault="000444A9" w:rsidP="000444A9">
            <w:pPr>
              <w:pStyle w:val="TableParagraph"/>
              <w:spacing w:line="301" w:lineRule="exact"/>
              <w:ind w:left="70" w:right="53"/>
              <w:jc w:val="center"/>
              <w:rPr>
                <w:b/>
                <w:sz w:val="28"/>
              </w:rPr>
            </w:pPr>
            <w:r>
              <w:rPr>
                <w:b/>
                <w:spacing w:val="-4"/>
                <w:sz w:val="28"/>
              </w:rPr>
              <w:t>2024</w:t>
            </w:r>
          </w:p>
        </w:tc>
      </w:tr>
      <w:tr w:rsidR="000444A9">
        <w:trPr>
          <w:trHeight w:val="741"/>
        </w:trPr>
        <w:tc>
          <w:tcPr>
            <w:tcW w:w="1603" w:type="dxa"/>
            <w:vMerge/>
            <w:tcBorders>
              <w:top w:val="nil"/>
            </w:tcBorders>
          </w:tcPr>
          <w:p w:rsidR="000444A9" w:rsidRDefault="000444A9" w:rsidP="000444A9">
            <w:pPr>
              <w:rPr>
                <w:sz w:val="2"/>
                <w:szCs w:val="2"/>
              </w:rPr>
            </w:pPr>
          </w:p>
        </w:tc>
        <w:tc>
          <w:tcPr>
            <w:tcW w:w="1594" w:type="dxa"/>
          </w:tcPr>
          <w:p w:rsidR="000444A9" w:rsidRDefault="000444A9" w:rsidP="000444A9">
            <w:pPr>
              <w:pStyle w:val="TableParagraph"/>
              <w:spacing w:line="310" w:lineRule="exact"/>
              <w:ind w:left="19" w:right="32"/>
              <w:jc w:val="center"/>
              <w:rPr>
                <w:sz w:val="28"/>
              </w:rPr>
            </w:pPr>
            <w:r>
              <w:rPr>
                <w:sz w:val="28"/>
              </w:rPr>
              <w:t>8</w:t>
            </w:r>
            <w:r>
              <w:rPr>
                <w:spacing w:val="-4"/>
                <w:sz w:val="28"/>
              </w:rPr>
              <w:t xml:space="preserve"> </w:t>
            </w:r>
            <w:r>
              <w:rPr>
                <w:sz w:val="28"/>
              </w:rPr>
              <w:t>957</w:t>
            </w:r>
            <w:r>
              <w:rPr>
                <w:spacing w:val="-4"/>
                <w:sz w:val="28"/>
              </w:rPr>
              <w:t xml:space="preserve"> </w:t>
            </w:r>
            <w:r>
              <w:rPr>
                <w:spacing w:val="-2"/>
                <w:sz w:val="28"/>
              </w:rPr>
              <w:t>194,4</w:t>
            </w:r>
          </w:p>
        </w:tc>
        <w:tc>
          <w:tcPr>
            <w:tcW w:w="1594" w:type="dxa"/>
          </w:tcPr>
          <w:p w:rsidR="000444A9" w:rsidRDefault="000444A9" w:rsidP="000444A9">
            <w:pPr>
              <w:pStyle w:val="TableParagraph"/>
              <w:spacing w:line="310" w:lineRule="exact"/>
              <w:ind w:left="33" w:right="39"/>
              <w:jc w:val="center"/>
              <w:rPr>
                <w:sz w:val="28"/>
              </w:rPr>
            </w:pPr>
            <w:r>
              <w:rPr>
                <w:sz w:val="28"/>
              </w:rPr>
              <w:t>11</w:t>
            </w:r>
            <w:r>
              <w:rPr>
                <w:spacing w:val="-4"/>
                <w:sz w:val="28"/>
              </w:rPr>
              <w:t xml:space="preserve"> </w:t>
            </w:r>
            <w:r>
              <w:rPr>
                <w:sz w:val="28"/>
              </w:rPr>
              <w:t>233</w:t>
            </w:r>
            <w:r>
              <w:rPr>
                <w:spacing w:val="-2"/>
                <w:sz w:val="28"/>
              </w:rPr>
              <w:t xml:space="preserve"> 242,3</w:t>
            </w:r>
          </w:p>
        </w:tc>
        <w:tc>
          <w:tcPr>
            <w:tcW w:w="1599" w:type="dxa"/>
          </w:tcPr>
          <w:p w:rsidR="000444A9" w:rsidRDefault="000444A9" w:rsidP="000444A9">
            <w:pPr>
              <w:pStyle w:val="TableParagraph"/>
              <w:spacing w:line="310" w:lineRule="exact"/>
              <w:ind w:left="22" w:right="70"/>
              <w:jc w:val="center"/>
              <w:rPr>
                <w:sz w:val="28"/>
              </w:rPr>
            </w:pPr>
            <w:r>
              <w:rPr>
                <w:sz w:val="28"/>
              </w:rPr>
              <w:t>12</w:t>
            </w:r>
            <w:r>
              <w:rPr>
                <w:spacing w:val="-5"/>
                <w:sz w:val="28"/>
              </w:rPr>
              <w:t xml:space="preserve"> </w:t>
            </w:r>
            <w:r>
              <w:rPr>
                <w:sz w:val="28"/>
              </w:rPr>
              <w:t>417</w:t>
            </w:r>
            <w:r>
              <w:rPr>
                <w:spacing w:val="-4"/>
                <w:sz w:val="28"/>
              </w:rPr>
              <w:t xml:space="preserve"> </w:t>
            </w:r>
            <w:r>
              <w:rPr>
                <w:spacing w:val="-2"/>
                <w:sz w:val="28"/>
              </w:rPr>
              <w:t>515,4</w:t>
            </w:r>
          </w:p>
        </w:tc>
        <w:tc>
          <w:tcPr>
            <w:tcW w:w="1596" w:type="dxa"/>
          </w:tcPr>
          <w:p w:rsidR="000444A9" w:rsidRDefault="000444A9" w:rsidP="000444A9">
            <w:pPr>
              <w:pStyle w:val="TableParagraph"/>
              <w:spacing w:line="310" w:lineRule="exact"/>
              <w:ind w:left="17" w:right="70"/>
              <w:jc w:val="center"/>
              <w:rPr>
                <w:sz w:val="28"/>
              </w:rPr>
            </w:pPr>
            <w:r>
              <w:rPr>
                <w:sz w:val="28"/>
              </w:rPr>
              <w:t>13</w:t>
            </w:r>
            <w:r>
              <w:rPr>
                <w:spacing w:val="-4"/>
                <w:sz w:val="28"/>
              </w:rPr>
              <w:t xml:space="preserve"> </w:t>
            </w:r>
            <w:r>
              <w:rPr>
                <w:sz w:val="28"/>
              </w:rPr>
              <w:t>230</w:t>
            </w:r>
            <w:r>
              <w:rPr>
                <w:spacing w:val="-4"/>
                <w:sz w:val="28"/>
              </w:rPr>
              <w:t xml:space="preserve"> </w:t>
            </w:r>
            <w:r>
              <w:rPr>
                <w:spacing w:val="-2"/>
                <w:sz w:val="28"/>
              </w:rPr>
              <w:t>018,6</w:t>
            </w:r>
          </w:p>
        </w:tc>
        <w:tc>
          <w:tcPr>
            <w:tcW w:w="1772" w:type="dxa"/>
          </w:tcPr>
          <w:p w:rsidR="000444A9" w:rsidRDefault="000444A9" w:rsidP="000444A9">
            <w:pPr>
              <w:pStyle w:val="TableParagraph"/>
              <w:spacing w:line="310" w:lineRule="exact"/>
              <w:ind w:left="17" w:right="70"/>
              <w:jc w:val="center"/>
              <w:rPr>
                <w:sz w:val="28"/>
              </w:rPr>
            </w:pPr>
            <w:r>
              <w:rPr>
                <w:sz w:val="28"/>
              </w:rPr>
              <w:t>13 565 881,3</w:t>
            </w:r>
          </w:p>
        </w:tc>
      </w:tr>
    </w:tbl>
    <w:p w:rsidR="00D30E26" w:rsidRDefault="00D30E26">
      <w:pPr>
        <w:pStyle w:val="a3"/>
        <w:spacing w:before="180"/>
        <w:ind w:left="0"/>
        <w:jc w:val="left"/>
        <w:rPr>
          <w:b/>
        </w:rPr>
      </w:pPr>
    </w:p>
    <w:p w:rsidR="00D30E26" w:rsidRDefault="000444A9">
      <w:pPr>
        <w:pStyle w:val="a3"/>
        <w:ind w:right="739" w:firstLine="705"/>
      </w:pPr>
      <w:r>
        <w:t>Tablodan da görülebileceği gibi üniversitenin geliri istikrarla karakterizedir.</w:t>
      </w:r>
    </w:p>
    <w:p w:rsidR="00D30E26" w:rsidRDefault="000444A9">
      <w:pPr>
        <w:pStyle w:val="a3"/>
        <w:spacing w:before="7" w:line="319" w:lineRule="exact"/>
      </w:pPr>
      <w:r>
        <w:rPr>
          <w:spacing w:val="-2"/>
        </w:rPr>
        <w:t>Üniversite</w:t>
      </w:r>
      <w:r>
        <w:rPr>
          <w:spacing w:val="-13"/>
        </w:rPr>
        <w:t xml:space="preserve"> </w:t>
      </w:r>
      <w:r>
        <w:rPr>
          <w:spacing w:val="-2"/>
        </w:rPr>
        <w:t>masraflar</w:t>
      </w:r>
      <w:r>
        <w:rPr>
          <w:spacing w:val="-6"/>
        </w:rPr>
        <w:t xml:space="preserve"> </w:t>
      </w:r>
      <w:r>
        <w:rPr>
          <w:spacing w:val="-2"/>
        </w:rPr>
        <w:t>planlama</w:t>
      </w:r>
      <w:r>
        <w:rPr>
          <w:spacing w:val="-15"/>
        </w:rPr>
        <w:t xml:space="preserve"> </w:t>
      </w:r>
      <w:r>
        <w:rPr>
          <w:spacing w:val="-2"/>
        </w:rPr>
        <w:t>dönem</w:t>
      </w:r>
      <w:r>
        <w:rPr>
          <w:spacing w:val="-7"/>
        </w:rPr>
        <w:t xml:space="preserve"> </w:t>
      </w:r>
      <w:r>
        <w:rPr>
          <w:spacing w:val="-2"/>
        </w:rPr>
        <w:t>dönemli</w:t>
      </w:r>
      <w:r>
        <w:rPr>
          <w:spacing w:val="-6"/>
        </w:rPr>
        <w:t xml:space="preserve"> </w:t>
      </w:r>
      <w:r>
        <w:rPr>
          <w:spacing w:val="-2"/>
        </w:rPr>
        <w:t>gerçekleştirilmiş</w:t>
      </w:r>
      <w:r>
        <w:rPr>
          <w:spacing w:val="-7"/>
        </w:rPr>
        <w:t xml:space="preserve"> </w:t>
      </w:r>
      <w:r>
        <w:rPr>
          <w:spacing w:val="-2"/>
        </w:rPr>
        <w:t>gerçekleştirillen:</w:t>
      </w:r>
    </w:p>
    <w:p w:rsidR="00FD7236" w:rsidRPr="00FD7236" w:rsidRDefault="00FD7236" w:rsidP="00FD7236">
      <w:pPr>
        <w:pStyle w:val="a4"/>
        <w:numPr>
          <w:ilvl w:val="0"/>
          <w:numId w:val="1"/>
        </w:numPr>
        <w:tabs>
          <w:tab w:val="left" w:pos="513"/>
        </w:tabs>
        <w:ind w:right="729" w:firstLine="0"/>
        <w:jc w:val="both"/>
        <w:rPr>
          <w:sz w:val="28"/>
        </w:rPr>
      </w:pPr>
      <w:r w:rsidRPr="00FD7236">
        <w:rPr>
          <w:sz w:val="28"/>
          <w:lang w:val="tr-TR"/>
        </w:rPr>
        <w:t>1. Kazakistan Cumhuriyeti Bilim ve Yükseköğretim Bakanlığının 10 Temmuz 2023 tarih ve 311 sayılı emri uyarınca, eğitimin kredi teknolojisi dikkate alınarak kişi başına düşen yükseköğretim ve lisansüstü eğitimin normatif finansmanına ilişkin usul belirlenmiştir.</w:t>
      </w:r>
    </w:p>
    <w:p w:rsidR="00D30E26" w:rsidRDefault="000444A9">
      <w:pPr>
        <w:pStyle w:val="a4"/>
        <w:numPr>
          <w:ilvl w:val="0"/>
          <w:numId w:val="1"/>
        </w:numPr>
        <w:tabs>
          <w:tab w:val="left" w:pos="541"/>
        </w:tabs>
        <w:spacing w:before="61"/>
        <w:ind w:left="541" w:hanging="322"/>
        <w:jc w:val="both"/>
        <w:rPr>
          <w:sz w:val="28"/>
        </w:rPr>
      </w:pPr>
      <w:bookmarkStart w:id="2" w:name="_GoBack"/>
      <w:bookmarkEnd w:id="2"/>
      <w:r>
        <w:rPr>
          <w:sz w:val="28"/>
        </w:rPr>
        <w:t>Yılda</w:t>
      </w:r>
      <w:r>
        <w:rPr>
          <w:spacing w:val="33"/>
          <w:sz w:val="28"/>
        </w:rPr>
        <w:t xml:space="preserve"> </w:t>
      </w:r>
      <w:r>
        <w:rPr>
          <w:sz w:val="28"/>
        </w:rPr>
        <w:t>ücretler</w:t>
      </w:r>
      <w:r>
        <w:rPr>
          <w:spacing w:val="36"/>
          <w:sz w:val="28"/>
        </w:rPr>
        <w:t xml:space="preserve"> </w:t>
      </w:r>
      <w:r>
        <w:rPr>
          <w:sz w:val="28"/>
        </w:rPr>
        <w:t>fon, sermaye</w:t>
      </w:r>
      <w:r>
        <w:rPr>
          <w:spacing w:val="36"/>
          <w:sz w:val="28"/>
        </w:rPr>
        <w:t xml:space="preserve"> </w:t>
      </w:r>
      <w:r>
        <w:rPr>
          <w:sz w:val="28"/>
        </w:rPr>
        <w:t>Üniversitenin</w:t>
      </w:r>
      <w:r>
        <w:rPr>
          <w:spacing w:val="36"/>
          <w:sz w:val="28"/>
        </w:rPr>
        <w:t xml:space="preserve"> </w:t>
      </w:r>
      <w:r>
        <w:rPr>
          <w:sz w:val="28"/>
        </w:rPr>
        <w:t>Yetkili</w:t>
      </w:r>
      <w:r>
        <w:rPr>
          <w:spacing w:val="36"/>
          <w:sz w:val="28"/>
        </w:rPr>
        <w:t xml:space="preserve"> </w:t>
      </w:r>
      <w:r>
        <w:rPr>
          <w:sz w:val="28"/>
        </w:rPr>
        <w:t>Konsey</w:t>
      </w:r>
      <w:r>
        <w:rPr>
          <w:spacing w:val="35"/>
          <w:sz w:val="28"/>
        </w:rPr>
        <w:t xml:space="preserve"> </w:t>
      </w:r>
      <w:r>
        <w:rPr>
          <w:sz w:val="28"/>
        </w:rPr>
        <w:t>2024</w:t>
      </w:r>
      <w:r>
        <w:rPr>
          <w:spacing w:val="34"/>
          <w:sz w:val="28"/>
        </w:rPr>
        <w:t xml:space="preserve"> </w:t>
      </w:r>
      <w:r>
        <w:rPr>
          <w:spacing w:val="-2"/>
          <w:sz w:val="28"/>
        </w:rPr>
        <w:t>yıl</w:t>
      </w:r>
    </w:p>
    <w:p w:rsidR="00D30E26" w:rsidRDefault="000444A9">
      <w:pPr>
        <w:pStyle w:val="a3"/>
        <w:spacing w:before="1"/>
        <w:ind w:right="721"/>
      </w:pPr>
      <w:r>
        <w:t>24 Şubat tarih ve 76 sayılı Meclis tarafından onaylanan "Maaş ödeme yönetmeliği" ve Üniversite Yetkili Kurulunun kararı esas alınarak</w:t>
      </w:r>
      <w:r>
        <w:rPr>
          <w:spacing w:val="40"/>
        </w:rPr>
        <w:t xml:space="preserve"> </w:t>
      </w:r>
      <w:r>
        <w:t>Buna göre öğretim elemanlarına Türkiye bütçesinden ödenecek ek sosyal ödeme miktarı belirlenmektedir.</w:t>
      </w:r>
    </w:p>
    <w:p w:rsidR="00D30E26" w:rsidRDefault="000444A9">
      <w:pPr>
        <w:pStyle w:val="a4"/>
        <w:numPr>
          <w:ilvl w:val="0"/>
          <w:numId w:val="1"/>
        </w:numPr>
        <w:tabs>
          <w:tab w:val="left" w:pos="613"/>
        </w:tabs>
        <w:spacing w:before="3" w:line="242" w:lineRule="auto"/>
        <w:ind w:right="727" w:firstLine="0"/>
        <w:jc w:val="both"/>
        <w:rPr>
          <w:sz w:val="28"/>
        </w:rPr>
      </w:pPr>
      <w:r>
        <w:rPr>
          <w:sz w:val="28"/>
        </w:rPr>
        <w:t>Bütçeye yapılacak vergiler ve diğer zorunlu ödemeler, Kazakistan Cumhuriyeti Vergi Kanunu'na uygun olarak planlanmaktadır.</w:t>
      </w:r>
    </w:p>
    <w:p w:rsidR="00D30E26" w:rsidRDefault="000444A9">
      <w:pPr>
        <w:pStyle w:val="a4"/>
        <w:numPr>
          <w:ilvl w:val="0"/>
          <w:numId w:val="1"/>
        </w:numPr>
        <w:tabs>
          <w:tab w:val="left" w:pos="429"/>
        </w:tabs>
        <w:spacing w:line="242" w:lineRule="auto"/>
        <w:ind w:right="728" w:firstLine="0"/>
        <w:jc w:val="both"/>
        <w:rPr>
          <w:sz w:val="28"/>
        </w:rPr>
      </w:pPr>
      <w:r>
        <w:rPr>
          <w:sz w:val="28"/>
        </w:rPr>
        <w:lastRenderedPageBreak/>
        <w:t>Satınalma planlaması üniversitenin tüm bölümlerinden alınan başvurulara göre yapılır.</w:t>
      </w:r>
    </w:p>
    <w:p w:rsidR="00D30E26" w:rsidRDefault="000444A9">
      <w:pPr>
        <w:pStyle w:val="a4"/>
        <w:numPr>
          <w:ilvl w:val="0"/>
          <w:numId w:val="1"/>
        </w:numPr>
        <w:tabs>
          <w:tab w:val="left" w:pos="429"/>
        </w:tabs>
        <w:ind w:right="739" w:firstLine="0"/>
        <w:jc w:val="both"/>
        <w:rPr>
          <w:sz w:val="28"/>
        </w:rPr>
      </w:pPr>
      <w:r>
        <w:rPr>
          <w:sz w:val="28"/>
        </w:rPr>
        <w:t>Kamu hizmetlerinin planlanması (ısı temini, elektrik, su, kanalizasyon vb.) düzenleyici belgelerin hesaplanmasına dayanarak gerçekleştirilir.</w:t>
      </w:r>
    </w:p>
    <w:p w:rsidR="00D30E26" w:rsidRDefault="000444A9">
      <w:pPr>
        <w:pStyle w:val="a3"/>
        <w:ind w:right="743" w:firstLine="777"/>
      </w:pPr>
      <w:r>
        <w:t>Her yıl Üniversite Senatosu toplantısında cari yılın bütçesinin uygulanmasına ve üniversite bütçesine ilişkin göstergelerin gelecek yıla ilişkin planlanmasına ilişkin bir rapor hazırlanır.</w:t>
      </w:r>
    </w:p>
    <w:p w:rsidR="00D30E26" w:rsidRDefault="000444A9">
      <w:pPr>
        <w:pStyle w:val="a3"/>
        <w:ind w:right="708" w:firstLine="705"/>
      </w:pPr>
      <w:r>
        <w:t>Kazakistan Cumhuriyeti Hükümeti ile Türkiye Cumhuriyeti Hükümeti arasında 22 Ekim 2009 tarihli Anlaşma. A. Yesevi Devlet Teknik Üniversitesi Hizmet Şartları Anlaşması'nın (23 Aralık 2010 tarihinde değiştirilen şekliyle) (9 Ocak 2012 tarih ve 531 - IV sayılı Kazakistan Cumhuriyeti Kanunu ile onaylanmıştır) 11. maddesine göre, kapsamlı denetim Üniversitenin faaliyetlerinin kontrolü ve denetimi Yetkili Konsey (üniversitenin yüksek yönetim organı) tarafından yılda bir defadan fazla yapılmaz ve iki ülkeden eşit sayıda üye tarafından atanan bir komisyondan oluşur: Kazakistan Cumhuriyeti ve Cumhuriyeti. Türkiye'nin. Ayrıca, söz konusu madde uyarınca, Kazakistan Cumhuriyeti ve Türkiye Cumhuriyeti devlet organları, kendi yetkileri dahilindeki üniversitelerde yılda bir defadan fazla olmamak üzere planlı denetimler yapma hakkına sahiptir. iki devletin ulusal mevzuatı tarafından belirlenen prosedür: Kazakistan ve Türkiye. Üniversitenin finansal raporlaması Uluslararası Finansal Raporlama Standartlarına (IFRS) göre yapılmakta olup, 2008 yılında IFRS'ye geçiş yapılmıştır.</w:t>
      </w:r>
      <w:r>
        <w:rPr>
          <w:spacing w:val="-2"/>
        </w:rPr>
        <w:t xml:space="preserve"> </w:t>
      </w:r>
      <w:r>
        <w:t>1 Ocak'tan itibaren</w:t>
      </w:r>
      <w:r>
        <w:rPr>
          <w:spacing w:val="-1"/>
        </w:rPr>
        <w:t xml:space="preserve"> </w:t>
      </w:r>
      <w:r>
        <w:t>başlangıçtan bitime</w:t>
      </w:r>
      <w:r>
        <w:rPr>
          <w:spacing w:val="-2"/>
        </w:rPr>
        <w:t xml:space="preserve"> </w:t>
      </w:r>
      <w:r>
        <w:t>gerçekleştirillen.</w:t>
      </w:r>
      <w:r>
        <w:rPr>
          <w:spacing w:val="-3"/>
        </w:rPr>
        <w:t xml:space="preserve"> </w:t>
      </w:r>
      <w:r>
        <w:t>Yıl başına</w:t>
      </w:r>
      <w:r>
        <w:rPr>
          <w:spacing w:val="-3"/>
        </w:rPr>
        <w:t xml:space="preserve"> </w:t>
      </w:r>
      <w:r>
        <w:t>bir kere</w:t>
      </w:r>
      <w:r>
        <w:rPr>
          <w:spacing w:val="-1"/>
        </w:rPr>
        <w:t xml:space="preserve"> </w:t>
      </w:r>
      <w:r>
        <w:t>Mali tablolar Kazakistan Cumhuriyeti Eğitim ve Kültür Bakanlığı ile Kazakistan Cumhuriyeti Eğitim ve Kültür Bakanlığı'na sunulur. Her ay Kazakistan Cumhuriyeti MoS'sine</w:t>
      </w:r>
      <w:r>
        <w:rPr>
          <w:spacing w:val="-2"/>
        </w:rPr>
        <w:t xml:space="preserve"> </w:t>
      </w:r>
      <w:r>
        <w:t>ve yapılan çalışmaların fiilleri her üç ayda bir Kazakistan Cumhuriyeti Eğitim ve Kültür Bakanlığına iletilmektedir. Vergi raporları elektronik ortamda iletilir, vergi servisi kamera kontrolü yapar.</w:t>
      </w:r>
    </w:p>
    <w:p w:rsidR="00D30E26" w:rsidRDefault="000444A9">
      <w:pPr>
        <w:pStyle w:val="a3"/>
        <w:ind w:right="731" w:firstLine="705"/>
      </w:pPr>
      <w:r>
        <w:t>Yukarıda belirtilen Anlaşma çerçevesinde hareket eden Üniversite, Kazakistan Cumhuriyeti ile Türkiye Cumhuriyeti arasında eğitim ve bilim alanında dostluk ve işbirliğinin geliştirilmesine hizmet etmekte olup, eğitim alanında uzun vadeli temel bir yatırım projesidir. Türk dili konuşulan tüm dünyada yüksek ve yükseköğretim sonrası eğitim almış nitelikli uzmanların istihdamı.</w:t>
      </w:r>
    </w:p>
    <w:p w:rsidR="00D30E26" w:rsidRDefault="000444A9">
      <w:pPr>
        <w:pStyle w:val="a3"/>
        <w:ind w:right="723" w:firstLine="705"/>
      </w:pPr>
      <w:r>
        <w:t>Üniversitenin güçlü bir malzeme ve teknik tabanı vardır. 690 kişilik, modern ekipmanlarla donatılmış bir bilim kütüphanesi, Türk bütçesinden sağlanan kaynaklarla inşa edilmiş bir elektronik kütüphane ve kütüphanenin çalışma salonlarında öğrenci ve öğretmenlerin çalışmaları yer almaktadır.</w:t>
      </w:r>
      <w:r>
        <w:rPr>
          <w:spacing w:val="80"/>
          <w:w w:val="150"/>
        </w:rPr>
        <w:t xml:space="preserve"> </w:t>
      </w:r>
      <w:r>
        <w:t>Ben</w:t>
      </w:r>
      <w:r>
        <w:rPr>
          <w:spacing w:val="80"/>
          <w:w w:val="150"/>
        </w:rPr>
        <w:t xml:space="preserve"> </w:t>
      </w:r>
      <w:r>
        <w:t>çalışmak</w:t>
      </w:r>
      <w:r>
        <w:rPr>
          <w:spacing w:val="80"/>
          <w:w w:val="150"/>
        </w:rPr>
        <w:t xml:space="preserve"> </w:t>
      </w:r>
      <w:r>
        <w:t>için</w:t>
      </w:r>
      <w:r>
        <w:rPr>
          <w:spacing w:val="80"/>
          <w:w w:val="150"/>
        </w:rPr>
        <w:t xml:space="preserve"> </w:t>
      </w:r>
      <w:r>
        <w:t>uygun</w:t>
      </w:r>
      <w:r>
        <w:rPr>
          <w:spacing w:val="80"/>
          <w:w w:val="150"/>
        </w:rPr>
        <w:t xml:space="preserve"> </w:t>
      </w:r>
      <w:r>
        <w:t>durumlar</w:t>
      </w:r>
      <w:r>
        <w:rPr>
          <w:spacing w:val="80"/>
          <w:w w:val="150"/>
        </w:rPr>
        <w:t xml:space="preserve"> </w:t>
      </w:r>
      <w:r>
        <w:t>yapılmış.</w:t>
      </w:r>
      <w:r>
        <w:rPr>
          <w:spacing w:val="80"/>
          <w:w w:val="150"/>
        </w:rPr>
        <w:t xml:space="preserve"> </w:t>
      </w:r>
      <w:r>
        <w:t>Üniversitede</w:t>
      </w:r>
    </w:p>
    <w:p w:rsidR="00D30E26" w:rsidRDefault="00D30E26">
      <w:pPr>
        <w:sectPr w:rsidR="00D30E26">
          <w:pgSz w:w="11930" w:h="16860"/>
          <w:pgMar w:top="1020" w:right="120" w:bottom="280" w:left="1480" w:header="720" w:footer="720" w:gutter="0"/>
          <w:cols w:space="720"/>
        </w:sectPr>
      </w:pPr>
    </w:p>
    <w:p w:rsidR="00D30E26" w:rsidRDefault="000444A9">
      <w:pPr>
        <w:pStyle w:val="a3"/>
        <w:spacing w:before="61"/>
        <w:ind w:right="722"/>
      </w:pPr>
      <w:r>
        <w:lastRenderedPageBreak/>
        <w:t>üniversitenin tematik planına göre eğitimsel ve metodolojik literatür (eğitim materyalleri, monografiler, metodolojik araçlar vb.) üreten, üniversitenin hizmet ve bölümlerinin boş ürünlerini üreten bir matbaa bulunmaktadır. Çalışma süreci 15 (onbeş) çalışma ve</w:t>
      </w:r>
    </w:p>
    <w:p w:rsidR="00D30E26" w:rsidRDefault="000444A9">
      <w:pPr>
        <w:pStyle w:val="a3"/>
        <w:spacing w:before="4"/>
        <w:ind w:right="706"/>
      </w:pPr>
      <w:r>
        <w:t>2 (iki) adet idari binada yer alan tesislerde gerçekleştirilecektir. Tıp Fakültesi eğitim laboratuvarları ve simülasyon merkezi, Üniversite bünyesinde klinik, 88 metrekare (seksensekiz sekiz) botanik bahçesi</w:t>
      </w:r>
      <w:r>
        <w:rPr>
          <w:spacing w:val="80"/>
          <w:w w:val="150"/>
        </w:rPr>
        <w:t xml:space="preserve"> </w:t>
      </w:r>
      <w:r>
        <w:t>hektarlık alan ve Iasi otel kompleksi, üniversitenin kültür merkezi binasında yer alan sanayi merkezi, iki müze (arkeoloji ve tarih) öğrenciler için deneysel bir üs görevi görerek öğrencilerimizin teorik bilginin yanı sıra bilgi edinmelerine de olanak sağlamaktadır.</w:t>
      </w:r>
      <w:r>
        <w:rPr>
          <w:spacing w:val="-1"/>
        </w:rPr>
        <w:t xml:space="preserve"> </w:t>
      </w:r>
      <w:r>
        <w:t xml:space="preserve">ve pratik beceriler. Tüm eğitim binalarında eğitim sınıfları için spor salonları ve yıl boyunca kullanılabilen yüzme havuzları bulunmaktadır. Üniversite öğrencilerinin ve çalışanlarının sağlığını korumak amacıyla ilk yardım sağlamak ve yıllık koruyucu tedbirleri yürütmek üzere tıbbi dispanser kurulur ve faaliyet gösterir. </w:t>
      </w:r>
      <w:r>
        <w:rPr>
          <w:spacing w:val="-2"/>
        </w:rPr>
        <w:t xml:space="preserve">Hedeflenen finansman için ayrılan Türk bütçesinden sağlanan fonlarla </w:t>
      </w:r>
      <w:r>
        <w:t>bir spor kompleksi, kortlar, spor sahaları ve futbol sahası inşa edildi ve tam donanımlı hale getirildi.</w:t>
      </w:r>
    </w:p>
    <w:p w:rsidR="00D30E26" w:rsidRDefault="000444A9">
      <w:pPr>
        <w:pStyle w:val="a3"/>
        <w:spacing w:before="2"/>
        <w:ind w:right="716" w:firstLine="705"/>
      </w:pPr>
      <w:r>
        <w:t>Sanat ve Spor Fakültesi için özel olarak inşa edilen OBC binasında spor salonu, binanın avlusunda ise ulusal ve uluslararası spor etkinliklerinin gerçekleştirilebileceği bir stadyum bulunmaktadır. 3.221 (üç bin iki yüz yirmi bir) kişilik 8 (sekiz) yurtta çalışma salonları, internet erişimi, ilgi kulüpleri, sıcak yemek pişirmek için malzeme odaları, sıhhi ve hijyenik konaklama standartları sağlanmaktadır. Her gün 500 (beş yüz) kişilik üniversite kantini öğrenci ve çalışanlara yemek sağlamakta, menüleri teknoloji uzmanları tarafından kontrol edilmektedir. Öğrencilere düşük yemek fiyatları, sporculara ise indirimli yemek imkanı sunulmaktadır. Üniversite yönetimi ayrıca 72 (yetmiş iki) daireden oluşan 10 (on) lojmanda öğretim üyelerinin konaklaması için en iyi koşulların yaratılmasına özel önem vermektedir. Yaz aylarında üniversite çalışanları ve öğrencilerine yönelik dinlenme alanları bulunmaktadır: Mashat kampı ve Torankol gölü.</w:t>
      </w:r>
    </w:p>
    <w:p w:rsidR="00D30E26" w:rsidRDefault="000444A9">
      <w:pPr>
        <w:pStyle w:val="a3"/>
        <w:spacing w:before="3"/>
        <w:ind w:right="726" w:firstLine="705"/>
      </w:pPr>
      <w:r>
        <w:t>Kazakistan Cumhuriyeti Eğitimi</w:t>
      </w:r>
      <w:r>
        <w:rPr>
          <w:spacing w:val="-1"/>
        </w:rPr>
        <w:t xml:space="preserve"> </w:t>
      </w:r>
      <w:r>
        <w:t>ve 25 Mart 2021 tarih ve 122 sayılı Bilim Bakanı'nın emri uyarınca, Kazakistan Cumhuriyeti Eğitim ve Bilim Bakanlığı'nın yüksek ve (veya) yüksek öğretim kurumlarındaki profesörler için önerilen pedagoji</w:t>
      </w:r>
      <w:r>
        <w:rPr>
          <w:spacing w:val="80"/>
        </w:rPr>
        <w:t xml:space="preserve"> </w:t>
      </w:r>
      <w:r>
        <w:t>yük</w:t>
      </w:r>
      <w:r>
        <w:rPr>
          <w:spacing w:val="80"/>
        </w:rPr>
        <w:t xml:space="preserve"> </w:t>
      </w:r>
      <w:r>
        <w:t>Ve</w:t>
      </w:r>
      <w:r>
        <w:rPr>
          <w:spacing w:val="80"/>
        </w:rPr>
        <w:t xml:space="preserve"> </w:t>
      </w:r>
      <w:r>
        <w:t>en çok</w:t>
      </w:r>
      <w:r>
        <w:rPr>
          <w:spacing w:val="80"/>
        </w:rPr>
        <w:t xml:space="preserve"> </w:t>
      </w:r>
      <w:r>
        <w:t>daha düşük</w:t>
      </w:r>
      <w:r>
        <w:rPr>
          <w:spacing w:val="80"/>
        </w:rPr>
        <w:t xml:space="preserve"> </w:t>
      </w:r>
      <w:r>
        <w:t>maaş</w:t>
      </w:r>
      <w:r>
        <w:rPr>
          <w:spacing w:val="80"/>
        </w:rPr>
        <w:t xml:space="preserve"> </w:t>
      </w:r>
      <w:r>
        <w:t>açıklamak</w:t>
      </w:r>
      <w:r>
        <w:rPr>
          <w:spacing w:val="40"/>
        </w:rPr>
        <w:t xml:space="preserve"> </w:t>
      </w:r>
      <w:r>
        <w:t>hakkında</w:t>
      </w:r>
    </w:p>
    <w:p w:rsidR="00D30E26" w:rsidRDefault="000444A9">
      <w:pPr>
        <w:pStyle w:val="a3"/>
        <w:spacing w:before="80"/>
        <w:ind w:right="715"/>
      </w:pPr>
      <w:r>
        <w:t>Yukarıda yazılı karar ve emirler uyarınca üniversite çalışanlarının maaşlarına 1 Eylül 2021 tarihinden itibaren %20 oranında zam yapılacaktır.</w:t>
      </w:r>
      <w:r>
        <w:rPr>
          <w:spacing w:val="80"/>
        </w:rPr>
        <w:t xml:space="preserve"> </w:t>
      </w:r>
      <w:r>
        <w:t>Artırıldı</w:t>
      </w:r>
    </w:p>
    <w:p w:rsidR="00D30E26" w:rsidRDefault="000444A9">
      <w:pPr>
        <w:pStyle w:val="a3"/>
        <w:spacing w:before="1"/>
        <w:ind w:right="722" w:firstLine="705"/>
      </w:pPr>
      <w:r>
        <w:t>Ayrıca öğretim elemanlarını finansal olarak motive etmek ve öğretim elemanlarının nitelik payını artırmak amacıyla maaşın yanı sıra Türk bütçesinden farklı sosyal ödemeler de yapılmaktadır.</w:t>
      </w:r>
    </w:p>
    <w:p w:rsidR="00D30E26" w:rsidRDefault="000444A9">
      <w:pPr>
        <w:pStyle w:val="a3"/>
        <w:spacing w:before="1"/>
        <w:ind w:left="925"/>
      </w:pPr>
      <w:r>
        <w:t>2021</w:t>
      </w:r>
      <w:r>
        <w:rPr>
          <w:spacing w:val="62"/>
        </w:rPr>
        <w:t xml:space="preserve">   </w:t>
      </w:r>
      <w:r>
        <w:t>yıl</w:t>
      </w:r>
      <w:r>
        <w:rPr>
          <w:spacing w:val="62"/>
        </w:rPr>
        <w:t xml:space="preserve">   </w:t>
      </w:r>
      <w:r>
        <w:t>Üniversite</w:t>
      </w:r>
      <w:r>
        <w:rPr>
          <w:spacing w:val="62"/>
        </w:rPr>
        <w:t xml:space="preserve">   </w:t>
      </w:r>
      <w:r>
        <w:t>masraflar</w:t>
      </w:r>
      <w:r>
        <w:rPr>
          <w:spacing w:val="61"/>
        </w:rPr>
        <w:t xml:space="preserve">   </w:t>
      </w:r>
      <w:r>
        <w:t>genel</w:t>
      </w:r>
      <w:r>
        <w:rPr>
          <w:spacing w:val="62"/>
        </w:rPr>
        <w:t xml:space="preserve">   </w:t>
      </w:r>
      <w:r>
        <w:rPr>
          <w:spacing w:val="-2"/>
        </w:rPr>
        <w:t>hacim olarak</w:t>
      </w:r>
    </w:p>
    <w:p w:rsidR="00D30E26" w:rsidRDefault="00D30E26">
      <w:pPr>
        <w:sectPr w:rsidR="00D30E26">
          <w:pgSz w:w="11930" w:h="16860"/>
          <w:pgMar w:top="1020" w:right="120" w:bottom="280" w:left="1480" w:header="720" w:footer="720" w:gutter="0"/>
          <w:cols w:space="720"/>
        </w:sectPr>
      </w:pPr>
    </w:p>
    <w:p w:rsidR="00D30E26" w:rsidRDefault="000444A9">
      <w:pPr>
        <w:pStyle w:val="a3"/>
        <w:spacing w:before="62"/>
      </w:pPr>
      <w:r>
        <w:lastRenderedPageBreak/>
        <w:t>personel</w:t>
      </w:r>
      <w:r>
        <w:rPr>
          <w:spacing w:val="-7"/>
        </w:rPr>
        <w:t xml:space="preserve"> </w:t>
      </w:r>
      <w:r>
        <w:t>maaş</w:t>
      </w:r>
      <w:r>
        <w:rPr>
          <w:spacing w:val="-7"/>
        </w:rPr>
        <w:t xml:space="preserve"> </w:t>
      </w:r>
      <w:r>
        <w:t>paylaşmak</w:t>
      </w:r>
      <w:r>
        <w:rPr>
          <w:spacing w:val="-6"/>
        </w:rPr>
        <w:t xml:space="preserve"> </w:t>
      </w:r>
      <w:r>
        <w:t>%70</w:t>
      </w:r>
      <w:r>
        <w:rPr>
          <w:spacing w:val="32"/>
        </w:rPr>
        <w:t xml:space="preserve"> </w:t>
      </w:r>
      <w:r>
        <w:rPr>
          <w:spacing w:val="-2"/>
        </w:rPr>
        <w:t>oluşturulan.</w:t>
      </w:r>
    </w:p>
    <w:p w:rsidR="00D30E26" w:rsidRDefault="000444A9">
      <w:pPr>
        <w:pStyle w:val="a3"/>
        <w:spacing w:before="2"/>
        <w:ind w:right="722" w:firstLine="705"/>
      </w:pPr>
      <w:r>
        <w:t>Üniversitenin malzeme ve teknik altyapısı her yıl güncellenmekte, modernize edilmekte ve donatılmaktadır. Tablo 2'de üniversitenin 4 (dört) yıl boyunca eğitim amaçlı maddi varlık satın almasına ilişkin detaylar yer almaktadır:</w:t>
      </w:r>
    </w:p>
    <w:p w:rsidR="00D30E26" w:rsidRDefault="00D30E26">
      <w:pPr>
        <w:pStyle w:val="a3"/>
        <w:spacing w:before="210"/>
        <w:ind w:left="0"/>
        <w:jc w:val="left"/>
      </w:pPr>
    </w:p>
    <w:p w:rsidR="00D30E26" w:rsidRDefault="000444A9">
      <w:pPr>
        <w:pStyle w:val="1"/>
      </w:pPr>
      <w:bookmarkStart w:id="3" w:name="Кесте_2._Деректер_мың_теңгемен"/>
      <w:bookmarkEnd w:id="3"/>
      <w:r>
        <w:t>Masa</w:t>
      </w:r>
      <w:r>
        <w:rPr>
          <w:spacing w:val="-16"/>
        </w:rPr>
        <w:t xml:space="preserve"> </w:t>
      </w:r>
      <w:r>
        <w:t>2.</w:t>
      </w:r>
      <w:r>
        <w:rPr>
          <w:spacing w:val="-14"/>
        </w:rPr>
        <w:t xml:space="preserve"> </w:t>
      </w:r>
      <w:r>
        <w:t>Veri</w:t>
      </w:r>
      <w:r>
        <w:rPr>
          <w:spacing w:val="-16"/>
        </w:rPr>
        <w:t xml:space="preserve"> </w:t>
      </w:r>
      <w:r>
        <w:t>bin</w:t>
      </w:r>
      <w:r>
        <w:rPr>
          <w:spacing w:val="-16"/>
        </w:rPr>
        <w:t xml:space="preserve"> </w:t>
      </w:r>
      <w:r>
        <w:rPr>
          <w:spacing w:val="-2"/>
        </w:rPr>
        <w:t>tenge olarak</w:t>
      </w:r>
    </w:p>
    <w:p w:rsidR="00D30E26" w:rsidRDefault="00D30E26">
      <w:pPr>
        <w:pStyle w:val="a3"/>
        <w:spacing w:before="1"/>
        <w:ind w:left="0"/>
        <w:jc w:val="left"/>
        <w:rPr>
          <w:b/>
          <w:sz w:val="1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985"/>
        <w:gridCol w:w="1418"/>
        <w:gridCol w:w="1560"/>
        <w:gridCol w:w="1558"/>
        <w:gridCol w:w="1560"/>
        <w:gridCol w:w="1560"/>
      </w:tblGrid>
      <w:tr w:rsidR="000444A9">
        <w:trPr>
          <w:trHeight w:val="321"/>
        </w:trPr>
        <w:tc>
          <w:tcPr>
            <w:tcW w:w="458" w:type="dxa"/>
          </w:tcPr>
          <w:p w:rsidR="000444A9" w:rsidRPr="000444A9" w:rsidRDefault="000444A9" w:rsidP="000444A9">
            <w:pPr>
              <w:pStyle w:val="TableParagraph"/>
              <w:ind w:left="134"/>
              <w:rPr>
                <w:b/>
                <w:sz w:val="28"/>
                <w:lang w:val="kk-KZ"/>
              </w:rPr>
            </w:pPr>
            <w:r>
              <w:rPr>
                <w:b/>
                <w:spacing w:val="-10"/>
                <w:sz w:val="28"/>
                <w:lang w:val="kk-KZ"/>
              </w:rPr>
              <w:t>№</w:t>
            </w:r>
          </w:p>
        </w:tc>
        <w:tc>
          <w:tcPr>
            <w:tcW w:w="1985" w:type="dxa"/>
          </w:tcPr>
          <w:p w:rsidR="000444A9" w:rsidRDefault="000444A9" w:rsidP="000444A9">
            <w:pPr>
              <w:pStyle w:val="TableParagraph"/>
              <w:ind w:left="585"/>
              <w:rPr>
                <w:b/>
                <w:sz w:val="28"/>
              </w:rPr>
            </w:pPr>
            <w:r>
              <w:rPr>
                <w:b/>
                <w:spacing w:val="-2"/>
                <w:sz w:val="28"/>
              </w:rPr>
              <w:t>İsim</w:t>
            </w:r>
          </w:p>
        </w:tc>
        <w:tc>
          <w:tcPr>
            <w:tcW w:w="1418" w:type="dxa"/>
          </w:tcPr>
          <w:p w:rsidR="000444A9" w:rsidRDefault="000444A9" w:rsidP="000444A9">
            <w:pPr>
              <w:pStyle w:val="TableParagraph"/>
              <w:ind w:left="529"/>
              <w:rPr>
                <w:b/>
                <w:sz w:val="28"/>
              </w:rPr>
            </w:pPr>
            <w:r>
              <w:rPr>
                <w:b/>
                <w:spacing w:val="-4"/>
                <w:sz w:val="28"/>
              </w:rPr>
              <w:t>2020</w:t>
            </w:r>
          </w:p>
        </w:tc>
        <w:tc>
          <w:tcPr>
            <w:tcW w:w="1560" w:type="dxa"/>
          </w:tcPr>
          <w:p w:rsidR="000444A9" w:rsidRDefault="000444A9" w:rsidP="000444A9">
            <w:pPr>
              <w:pStyle w:val="TableParagraph"/>
              <w:ind w:left="529"/>
              <w:rPr>
                <w:b/>
                <w:sz w:val="28"/>
              </w:rPr>
            </w:pPr>
            <w:r>
              <w:rPr>
                <w:b/>
                <w:spacing w:val="-4"/>
                <w:sz w:val="28"/>
              </w:rPr>
              <w:t>2021</w:t>
            </w:r>
          </w:p>
        </w:tc>
        <w:tc>
          <w:tcPr>
            <w:tcW w:w="1558" w:type="dxa"/>
          </w:tcPr>
          <w:p w:rsidR="000444A9" w:rsidRDefault="000444A9" w:rsidP="000444A9">
            <w:pPr>
              <w:pStyle w:val="TableParagraph"/>
              <w:ind w:left="532"/>
              <w:rPr>
                <w:b/>
                <w:sz w:val="28"/>
              </w:rPr>
            </w:pPr>
            <w:r>
              <w:rPr>
                <w:b/>
                <w:spacing w:val="-4"/>
                <w:sz w:val="28"/>
              </w:rPr>
              <w:t>2022</w:t>
            </w:r>
          </w:p>
        </w:tc>
        <w:tc>
          <w:tcPr>
            <w:tcW w:w="1560" w:type="dxa"/>
          </w:tcPr>
          <w:p w:rsidR="000444A9" w:rsidRPr="003E0314" w:rsidRDefault="000444A9" w:rsidP="000444A9">
            <w:pPr>
              <w:pStyle w:val="TableParagraph"/>
              <w:ind w:left="529"/>
              <w:rPr>
                <w:b/>
                <w:sz w:val="28"/>
                <w:lang w:val="ru-RU"/>
              </w:rPr>
            </w:pPr>
            <w:r>
              <w:rPr>
                <w:b/>
                <w:spacing w:val="-4"/>
                <w:sz w:val="28"/>
              </w:rPr>
              <w:t>202</w:t>
            </w:r>
            <w:r>
              <w:rPr>
                <w:b/>
                <w:spacing w:val="-4"/>
                <w:sz w:val="28"/>
                <w:lang w:val="ru-RU"/>
              </w:rPr>
              <w:t>3</w:t>
            </w:r>
          </w:p>
        </w:tc>
        <w:tc>
          <w:tcPr>
            <w:tcW w:w="1560" w:type="dxa"/>
          </w:tcPr>
          <w:p w:rsidR="000444A9" w:rsidRDefault="000444A9" w:rsidP="000444A9">
            <w:pPr>
              <w:pStyle w:val="TableParagraph"/>
              <w:ind w:left="532"/>
              <w:rPr>
                <w:b/>
                <w:sz w:val="28"/>
              </w:rPr>
            </w:pPr>
            <w:r>
              <w:rPr>
                <w:b/>
                <w:spacing w:val="-4"/>
                <w:sz w:val="28"/>
              </w:rPr>
              <w:t>2024</w:t>
            </w:r>
          </w:p>
        </w:tc>
      </w:tr>
      <w:tr w:rsidR="002F62FF">
        <w:trPr>
          <w:trHeight w:val="321"/>
        </w:trPr>
        <w:tc>
          <w:tcPr>
            <w:tcW w:w="458" w:type="dxa"/>
          </w:tcPr>
          <w:p w:rsidR="002F62FF" w:rsidRDefault="002F62FF" w:rsidP="002F62FF">
            <w:pPr>
              <w:pStyle w:val="TableParagraph"/>
              <w:ind w:left="119"/>
              <w:rPr>
                <w:sz w:val="28"/>
              </w:rPr>
            </w:pPr>
            <w:r>
              <w:rPr>
                <w:spacing w:val="-10"/>
                <w:sz w:val="28"/>
              </w:rPr>
              <w:t>1</w:t>
            </w:r>
          </w:p>
        </w:tc>
        <w:tc>
          <w:tcPr>
            <w:tcW w:w="1985" w:type="dxa"/>
          </w:tcPr>
          <w:p w:rsidR="002F62FF" w:rsidRDefault="002F62FF" w:rsidP="002F62FF">
            <w:pPr>
              <w:pStyle w:val="TableParagraph"/>
              <w:ind w:left="120"/>
              <w:rPr>
                <w:sz w:val="28"/>
              </w:rPr>
            </w:pPr>
            <w:r>
              <w:rPr>
                <w:spacing w:val="-2"/>
                <w:sz w:val="28"/>
              </w:rPr>
              <w:t>Bilgisayarlar</w:t>
            </w:r>
          </w:p>
        </w:tc>
        <w:tc>
          <w:tcPr>
            <w:tcW w:w="1418" w:type="dxa"/>
          </w:tcPr>
          <w:p w:rsidR="002F62FF" w:rsidRDefault="002F62FF" w:rsidP="002F62FF">
            <w:pPr>
              <w:pStyle w:val="TableParagraph"/>
              <w:ind w:left="118"/>
              <w:rPr>
                <w:sz w:val="28"/>
              </w:rPr>
            </w:pPr>
            <w:r>
              <w:rPr>
                <w:sz w:val="28"/>
              </w:rPr>
              <w:t>56</w:t>
            </w:r>
            <w:r>
              <w:rPr>
                <w:spacing w:val="-3"/>
                <w:sz w:val="28"/>
              </w:rPr>
              <w:t xml:space="preserve"> </w:t>
            </w:r>
            <w:r>
              <w:rPr>
                <w:spacing w:val="-2"/>
                <w:sz w:val="28"/>
              </w:rPr>
              <w:t>653,11</w:t>
            </w:r>
          </w:p>
        </w:tc>
        <w:tc>
          <w:tcPr>
            <w:tcW w:w="1560" w:type="dxa"/>
          </w:tcPr>
          <w:p w:rsidR="002F62FF" w:rsidRDefault="002F62FF" w:rsidP="002F62FF">
            <w:pPr>
              <w:pStyle w:val="TableParagraph"/>
              <w:rPr>
                <w:sz w:val="28"/>
              </w:rPr>
            </w:pPr>
            <w:r>
              <w:rPr>
                <w:sz w:val="28"/>
              </w:rPr>
              <w:t>145</w:t>
            </w:r>
            <w:r>
              <w:rPr>
                <w:spacing w:val="-11"/>
                <w:sz w:val="28"/>
              </w:rPr>
              <w:t xml:space="preserve"> </w:t>
            </w:r>
            <w:r>
              <w:rPr>
                <w:spacing w:val="-2"/>
                <w:sz w:val="28"/>
              </w:rPr>
              <w:t>470,16</w:t>
            </w:r>
          </w:p>
        </w:tc>
        <w:tc>
          <w:tcPr>
            <w:tcW w:w="1558" w:type="dxa"/>
          </w:tcPr>
          <w:p w:rsidR="002F62FF" w:rsidRDefault="002F62FF" w:rsidP="002F62FF">
            <w:pPr>
              <w:pStyle w:val="TableParagraph"/>
              <w:rPr>
                <w:sz w:val="28"/>
              </w:rPr>
            </w:pPr>
            <w:r>
              <w:rPr>
                <w:sz w:val="28"/>
              </w:rPr>
              <w:t>13</w:t>
            </w:r>
            <w:r>
              <w:rPr>
                <w:spacing w:val="-5"/>
                <w:sz w:val="28"/>
              </w:rPr>
              <w:t xml:space="preserve"> </w:t>
            </w:r>
            <w:r>
              <w:rPr>
                <w:spacing w:val="-2"/>
                <w:sz w:val="28"/>
              </w:rPr>
              <w:t>581,2</w:t>
            </w:r>
          </w:p>
        </w:tc>
        <w:tc>
          <w:tcPr>
            <w:tcW w:w="1560" w:type="dxa"/>
          </w:tcPr>
          <w:p w:rsidR="002F62FF" w:rsidRPr="003E0314" w:rsidRDefault="002F62FF" w:rsidP="002F62FF">
            <w:pPr>
              <w:pStyle w:val="TableParagraph"/>
              <w:rPr>
                <w:sz w:val="28"/>
                <w:lang w:val="ru-RU"/>
              </w:rPr>
            </w:pPr>
            <w:r>
              <w:rPr>
                <w:sz w:val="28"/>
                <w:lang w:val="ru-RU"/>
              </w:rPr>
              <w:t>9 574,16</w:t>
            </w:r>
          </w:p>
        </w:tc>
        <w:tc>
          <w:tcPr>
            <w:tcW w:w="1560" w:type="dxa"/>
          </w:tcPr>
          <w:p w:rsidR="002F62FF" w:rsidRPr="003E0314" w:rsidRDefault="002F62FF" w:rsidP="002F62FF">
            <w:pPr>
              <w:pStyle w:val="TableParagraph"/>
              <w:rPr>
                <w:sz w:val="28"/>
                <w:lang w:val="ru-RU"/>
              </w:rPr>
            </w:pPr>
            <w:r>
              <w:rPr>
                <w:sz w:val="28"/>
                <w:lang w:val="ru-RU"/>
              </w:rPr>
              <w:t>86 035,6</w:t>
            </w:r>
          </w:p>
        </w:tc>
      </w:tr>
      <w:tr w:rsidR="002F62FF">
        <w:trPr>
          <w:trHeight w:val="642"/>
        </w:trPr>
        <w:tc>
          <w:tcPr>
            <w:tcW w:w="458" w:type="dxa"/>
          </w:tcPr>
          <w:p w:rsidR="002F62FF" w:rsidRDefault="002F62FF" w:rsidP="002F62FF">
            <w:pPr>
              <w:pStyle w:val="TableParagraph"/>
              <w:spacing w:line="310" w:lineRule="exact"/>
              <w:ind w:left="119"/>
              <w:rPr>
                <w:sz w:val="28"/>
              </w:rPr>
            </w:pPr>
            <w:r>
              <w:rPr>
                <w:spacing w:val="-10"/>
                <w:sz w:val="28"/>
              </w:rPr>
              <w:t>2</w:t>
            </w:r>
          </w:p>
        </w:tc>
        <w:tc>
          <w:tcPr>
            <w:tcW w:w="1985" w:type="dxa"/>
          </w:tcPr>
          <w:p w:rsidR="002F62FF" w:rsidRDefault="002F62FF" w:rsidP="002F62FF">
            <w:pPr>
              <w:pStyle w:val="TableParagraph"/>
              <w:spacing w:line="230" w:lineRule="auto"/>
              <w:ind w:left="120"/>
              <w:rPr>
                <w:sz w:val="28"/>
              </w:rPr>
            </w:pPr>
            <w:r>
              <w:rPr>
                <w:spacing w:val="-6"/>
                <w:sz w:val="28"/>
              </w:rPr>
              <w:t xml:space="preserve">Organizasyon </w:t>
            </w:r>
            <w:r>
              <w:rPr>
                <w:spacing w:val="-2"/>
                <w:sz w:val="28"/>
              </w:rPr>
              <w:t>tekniği</w:t>
            </w:r>
          </w:p>
        </w:tc>
        <w:tc>
          <w:tcPr>
            <w:tcW w:w="1418" w:type="dxa"/>
          </w:tcPr>
          <w:p w:rsidR="002F62FF" w:rsidRDefault="002F62FF" w:rsidP="002F62FF">
            <w:pPr>
              <w:pStyle w:val="TableParagraph"/>
              <w:spacing w:line="310" w:lineRule="exact"/>
              <w:ind w:left="118"/>
              <w:rPr>
                <w:sz w:val="28"/>
              </w:rPr>
            </w:pPr>
            <w:r>
              <w:rPr>
                <w:sz w:val="28"/>
              </w:rPr>
              <w:t>65</w:t>
            </w:r>
            <w:r>
              <w:rPr>
                <w:spacing w:val="-3"/>
                <w:sz w:val="28"/>
              </w:rPr>
              <w:t xml:space="preserve"> </w:t>
            </w:r>
            <w:r>
              <w:rPr>
                <w:spacing w:val="-2"/>
                <w:sz w:val="28"/>
              </w:rPr>
              <w:t>644,76</w:t>
            </w:r>
          </w:p>
        </w:tc>
        <w:tc>
          <w:tcPr>
            <w:tcW w:w="1560" w:type="dxa"/>
          </w:tcPr>
          <w:p w:rsidR="002F62FF" w:rsidRDefault="002F62FF" w:rsidP="002F62FF">
            <w:pPr>
              <w:pStyle w:val="TableParagraph"/>
              <w:spacing w:line="310" w:lineRule="exact"/>
              <w:rPr>
                <w:sz w:val="28"/>
              </w:rPr>
            </w:pPr>
            <w:r>
              <w:rPr>
                <w:sz w:val="28"/>
              </w:rPr>
              <w:t>63</w:t>
            </w:r>
            <w:r>
              <w:rPr>
                <w:spacing w:val="-3"/>
                <w:sz w:val="28"/>
              </w:rPr>
              <w:t xml:space="preserve"> </w:t>
            </w:r>
            <w:r>
              <w:rPr>
                <w:spacing w:val="-2"/>
                <w:sz w:val="28"/>
              </w:rPr>
              <w:t>180,03</w:t>
            </w:r>
          </w:p>
        </w:tc>
        <w:tc>
          <w:tcPr>
            <w:tcW w:w="1558" w:type="dxa"/>
          </w:tcPr>
          <w:p w:rsidR="002F62FF" w:rsidRDefault="002F62FF" w:rsidP="002F62FF">
            <w:pPr>
              <w:pStyle w:val="TableParagraph"/>
              <w:spacing w:line="310" w:lineRule="exact"/>
              <w:rPr>
                <w:sz w:val="28"/>
              </w:rPr>
            </w:pPr>
            <w:r>
              <w:rPr>
                <w:sz w:val="28"/>
              </w:rPr>
              <w:t>30</w:t>
            </w:r>
            <w:r>
              <w:rPr>
                <w:spacing w:val="-5"/>
                <w:sz w:val="28"/>
              </w:rPr>
              <w:t xml:space="preserve"> </w:t>
            </w:r>
            <w:r>
              <w:rPr>
                <w:spacing w:val="-2"/>
                <w:sz w:val="28"/>
              </w:rPr>
              <w:t>427,5</w:t>
            </w:r>
          </w:p>
        </w:tc>
        <w:tc>
          <w:tcPr>
            <w:tcW w:w="1560" w:type="dxa"/>
          </w:tcPr>
          <w:p w:rsidR="002F62FF" w:rsidRPr="003E0314" w:rsidRDefault="002F62FF" w:rsidP="002F62FF">
            <w:pPr>
              <w:pStyle w:val="TableParagraph"/>
              <w:spacing w:line="310" w:lineRule="exact"/>
              <w:rPr>
                <w:sz w:val="28"/>
                <w:lang w:val="ru-RU"/>
              </w:rPr>
            </w:pPr>
            <w:r>
              <w:rPr>
                <w:sz w:val="28"/>
                <w:lang w:val="ru-RU"/>
              </w:rPr>
              <w:t>10 398,14</w:t>
            </w:r>
          </w:p>
        </w:tc>
        <w:tc>
          <w:tcPr>
            <w:tcW w:w="1560" w:type="dxa"/>
          </w:tcPr>
          <w:p w:rsidR="002F62FF" w:rsidRPr="003E0314" w:rsidRDefault="002F62FF" w:rsidP="002F62FF">
            <w:pPr>
              <w:pStyle w:val="TableParagraph"/>
              <w:spacing w:line="310" w:lineRule="exact"/>
              <w:rPr>
                <w:sz w:val="28"/>
                <w:lang w:val="ru-RU"/>
              </w:rPr>
            </w:pPr>
            <w:r>
              <w:rPr>
                <w:sz w:val="28"/>
                <w:lang w:val="ru-RU"/>
              </w:rPr>
              <w:t>59 642,7</w:t>
            </w:r>
          </w:p>
        </w:tc>
      </w:tr>
      <w:tr w:rsidR="002F62FF">
        <w:trPr>
          <w:trHeight w:val="645"/>
        </w:trPr>
        <w:tc>
          <w:tcPr>
            <w:tcW w:w="458" w:type="dxa"/>
          </w:tcPr>
          <w:p w:rsidR="002F62FF" w:rsidRDefault="002F62FF" w:rsidP="002F62FF">
            <w:pPr>
              <w:pStyle w:val="TableParagraph"/>
              <w:spacing w:line="311" w:lineRule="exact"/>
              <w:ind w:left="119"/>
              <w:rPr>
                <w:sz w:val="28"/>
              </w:rPr>
            </w:pPr>
            <w:r>
              <w:rPr>
                <w:spacing w:val="-10"/>
                <w:sz w:val="28"/>
              </w:rPr>
              <w:t>3</w:t>
            </w:r>
          </w:p>
        </w:tc>
        <w:tc>
          <w:tcPr>
            <w:tcW w:w="1985" w:type="dxa"/>
          </w:tcPr>
          <w:p w:rsidR="002F62FF" w:rsidRDefault="002F62FF" w:rsidP="002F62FF">
            <w:pPr>
              <w:pStyle w:val="TableParagraph"/>
              <w:spacing w:line="230" w:lineRule="auto"/>
              <w:ind w:left="120"/>
              <w:rPr>
                <w:sz w:val="28"/>
              </w:rPr>
            </w:pPr>
            <w:r>
              <w:rPr>
                <w:spacing w:val="-6"/>
                <w:sz w:val="28"/>
              </w:rPr>
              <w:t xml:space="preserve">Laboratuvar </w:t>
            </w:r>
            <w:r>
              <w:rPr>
                <w:spacing w:val="-2"/>
                <w:sz w:val="28"/>
              </w:rPr>
              <w:t>ekipmanları</w:t>
            </w:r>
          </w:p>
        </w:tc>
        <w:tc>
          <w:tcPr>
            <w:tcW w:w="1418" w:type="dxa"/>
          </w:tcPr>
          <w:p w:rsidR="002F62FF" w:rsidRDefault="002F62FF" w:rsidP="002F62FF">
            <w:pPr>
              <w:pStyle w:val="TableParagraph"/>
              <w:spacing w:line="311" w:lineRule="exact"/>
              <w:ind w:left="118"/>
              <w:rPr>
                <w:sz w:val="28"/>
              </w:rPr>
            </w:pPr>
            <w:r>
              <w:rPr>
                <w:sz w:val="28"/>
              </w:rPr>
              <w:t>21</w:t>
            </w:r>
            <w:r>
              <w:rPr>
                <w:spacing w:val="-3"/>
                <w:sz w:val="28"/>
              </w:rPr>
              <w:t xml:space="preserve"> </w:t>
            </w:r>
            <w:r>
              <w:rPr>
                <w:spacing w:val="-2"/>
                <w:sz w:val="28"/>
              </w:rPr>
              <w:t>200,27</w:t>
            </w:r>
          </w:p>
        </w:tc>
        <w:tc>
          <w:tcPr>
            <w:tcW w:w="1560" w:type="dxa"/>
          </w:tcPr>
          <w:p w:rsidR="002F62FF" w:rsidRDefault="002F62FF" w:rsidP="002F62FF">
            <w:pPr>
              <w:pStyle w:val="TableParagraph"/>
              <w:spacing w:line="311" w:lineRule="exact"/>
              <w:rPr>
                <w:sz w:val="28"/>
              </w:rPr>
            </w:pPr>
            <w:r>
              <w:rPr>
                <w:sz w:val="28"/>
              </w:rPr>
              <w:t>42</w:t>
            </w:r>
            <w:r>
              <w:rPr>
                <w:spacing w:val="-3"/>
                <w:sz w:val="28"/>
              </w:rPr>
              <w:t xml:space="preserve"> </w:t>
            </w:r>
            <w:r>
              <w:rPr>
                <w:spacing w:val="-2"/>
                <w:sz w:val="28"/>
              </w:rPr>
              <w:t>410,43</w:t>
            </w:r>
          </w:p>
        </w:tc>
        <w:tc>
          <w:tcPr>
            <w:tcW w:w="1558" w:type="dxa"/>
          </w:tcPr>
          <w:p w:rsidR="002F62FF" w:rsidRDefault="002F62FF" w:rsidP="002F62FF">
            <w:pPr>
              <w:pStyle w:val="TableParagraph"/>
              <w:spacing w:line="311" w:lineRule="exact"/>
              <w:rPr>
                <w:sz w:val="28"/>
              </w:rPr>
            </w:pPr>
            <w:r>
              <w:rPr>
                <w:sz w:val="28"/>
              </w:rPr>
              <w:t>12</w:t>
            </w:r>
            <w:r>
              <w:rPr>
                <w:spacing w:val="-5"/>
                <w:sz w:val="28"/>
              </w:rPr>
              <w:t xml:space="preserve"> </w:t>
            </w:r>
            <w:r>
              <w:rPr>
                <w:spacing w:val="-2"/>
                <w:sz w:val="28"/>
              </w:rPr>
              <w:t>300,3</w:t>
            </w:r>
          </w:p>
        </w:tc>
        <w:tc>
          <w:tcPr>
            <w:tcW w:w="1560" w:type="dxa"/>
          </w:tcPr>
          <w:p w:rsidR="002F62FF" w:rsidRPr="003E0314" w:rsidRDefault="002F62FF" w:rsidP="002F62FF">
            <w:pPr>
              <w:pStyle w:val="TableParagraph"/>
              <w:spacing w:line="311" w:lineRule="exact"/>
              <w:rPr>
                <w:sz w:val="28"/>
                <w:lang w:val="ru-RU"/>
              </w:rPr>
            </w:pPr>
            <w:r>
              <w:rPr>
                <w:sz w:val="28"/>
                <w:lang w:val="ru-RU"/>
              </w:rPr>
              <w:t>83 127,13</w:t>
            </w:r>
          </w:p>
        </w:tc>
        <w:tc>
          <w:tcPr>
            <w:tcW w:w="1560" w:type="dxa"/>
          </w:tcPr>
          <w:p w:rsidR="002F62FF" w:rsidRPr="003E0314" w:rsidRDefault="002F62FF" w:rsidP="002F62FF">
            <w:pPr>
              <w:pStyle w:val="TableParagraph"/>
              <w:spacing w:line="311" w:lineRule="exact"/>
              <w:rPr>
                <w:sz w:val="28"/>
                <w:lang w:val="ru-RU"/>
              </w:rPr>
            </w:pPr>
            <w:r>
              <w:rPr>
                <w:sz w:val="28"/>
                <w:lang w:val="ru-RU"/>
              </w:rPr>
              <w:t>10 985,3</w:t>
            </w:r>
          </w:p>
        </w:tc>
      </w:tr>
      <w:tr w:rsidR="002F62FF">
        <w:trPr>
          <w:trHeight w:val="321"/>
        </w:trPr>
        <w:tc>
          <w:tcPr>
            <w:tcW w:w="458" w:type="dxa"/>
          </w:tcPr>
          <w:p w:rsidR="002F62FF" w:rsidRDefault="002F62FF" w:rsidP="002F62FF">
            <w:pPr>
              <w:pStyle w:val="TableParagraph"/>
              <w:spacing w:line="301" w:lineRule="exact"/>
              <w:ind w:left="119"/>
              <w:rPr>
                <w:sz w:val="28"/>
              </w:rPr>
            </w:pPr>
            <w:r>
              <w:rPr>
                <w:spacing w:val="-10"/>
                <w:sz w:val="28"/>
              </w:rPr>
              <w:t>4</w:t>
            </w:r>
          </w:p>
        </w:tc>
        <w:tc>
          <w:tcPr>
            <w:tcW w:w="1985" w:type="dxa"/>
          </w:tcPr>
          <w:p w:rsidR="002F62FF" w:rsidRDefault="002F62FF" w:rsidP="002F62FF">
            <w:pPr>
              <w:pStyle w:val="TableParagraph"/>
              <w:spacing w:line="301" w:lineRule="exact"/>
              <w:ind w:left="120"/>
              <w:rPr>
                <w:sz w:val="28"/>
              </w:rPr>
            </w:pPr>
            <w:r>
              <w:rPr>
                <w:spacing w:val="-2"/>
                <w:sz w:val="28"/>
              </w:rPr>
              <w:t>Kütüphane</w:t>
            </w:r>
            <w:r>
              <w:rPr>
                <w:spacing w:val="-9"/>
                <w:sz w:val="28"/>
              </w:rPr>
              <w:t xml:space="preserve"> </w:t>
            </w:r>
            <w:r>
              <w:rPr>
                <w:spacing w:val="-4"/>
                <w:sz w:val="28"/>
              </w:rPr>
              <w:t>fon, sermaye</w:t>
            </w:r>
          </w:p>
        </w:tc>
        <w:tc>
          <w:tcPr>
            <w:tcW w:w="1418" w:type="dxa"/>
          </w:tcPr>
          <w:p w:rsidR="002F62FF" w:rsidRDefault="002F62FF" w:rsidP="002F62FF">
            <w:pPr>
              <w:pStyle w:val="TableParagraph"/>
              <w:spacing w:line="301" w:lineRule="exact"/>
              <w:ind w:left="118"/>
              <w:rPr>
                <w:sz w:val="28"/>
              </w:rPr>
            </w:pPr>
            <w:r>
              <w:rPr>
                <w:sz w:val="28"/>
              </w:rPr>
              <w:t>34</w:t>
            </w:r>
            <w:r>
              <w:rPr>
                <w:spacing w:val="-3"/>
                <w:sz w:val="28"/>
              </w:rPr>
              <w:t xml:space="preserve"> </w:t>
            </w:r>
            <w:r>
              <w:rPr>
                <w:spacing w:val="-2"/>
                <w:sz w:val="28"/>
              </w:rPr>
              <w:t>362,10</w:t>
            </w:r>
          </w:p>
        </w:tc>
        <w:tc>
          <w:tcPr>
            <w:tcW w:w="1560" w:type="dxa"/>
          </w:tcPr>
          <w:p w:rsidR="002F62FF" w:rsidRDefault="002F62FF" w:rsidP="002F62FF">
            <w:pPr>
              <w:pStyle w:val="TableParagraph"/>
              <w:spacing w:line="301" w:lineRule="exact"/>
              <w:rPr>
                <w:sz w:val="28"/>
              </w:rPr>
            </w:pPr>
            <w:r>
              <w:rPr>
                <w:sz w:val="28"/>
              </w:rPr>
              <w:t>3</w:t>
            </w:r>
            <w:r>
              <w:rPr>
                <w:spacing w:val="-2"/>
                <w:sz w:val="28"/>
              </w:rPr>
              <w:t xml:space="preserve"> 441,76</w:t>
            </w:r>
          </w:p>
        </w:tc>
        <w:tc>
          <w:tcPr>
            <w:tcW w:w="1558" w:type="dxa"/>
          </w:tcPr>
          <w:p w:rsidR="002F62FF" w:rsidRDefault="002F62FF" w:rsidP="002F62FF">
            <w:pPr>
              <w:pStyle w:val="TableParagraph"/>
              <w:spacing w:line="301" w:lineRule="exact"/>
              <w:rPr>
                <w:sz w:val="28"/>
              </w:rPr>
            </w:pPr>
            <w:r>
              <w:rPr>
                <w:sz w:val="28"/>
              </w:rPr>
              <w:t>45</w:t>
            </w:r>
            <w:r>
              <w:rPr>
                <w:spacing w:val="-5"/>
                <w:sz w:val="28"/>
              </w:rPr>
              <w:t xml:space="preserve"> </w:t>
            </w:r>
            <w:r>
              <w:rPr>
                <w:spacing w:val="-2"/>
                <w:sz w:val="28"/>
              </w:rPr>
              <w:t>345,0</w:t>
            </w:r>
          </w:p>
        </w:tc>
        <w:tc>
          <w:tcPr>
            <w:tcW w:w="1560" w:type="dxa"/>
          </w:tcPr>
          <w:p w:rsidR="002F62FF" w:rsidRPr="003E0314" w:rsidRDefault="002F62FF" w:rsidP="002F62FF">
            <w:pPr>
              <w:pStyle w:val="TableParagraph"/>
              <w:spacing w:line="301" w:lineRule="exact"/>
              <w:rPr>
                <w:sz w:val="28"/>
                <w:lang w:val="ru-RU"/>
              </w:rPr>
            </w:pPr>
            <w:r>
              <w:rPr>
                <w:sz w:val="28"/>
                <w:lang w:val="ru-RU"/>
              </w:rPr>
              <w:t>33 093,90</w:t>
            </w:r>
          </w:p>
        </w:tc>
        <w:tc>
          <w:tcPr>
            <w:tcW w:w="1560" w:type="dxa"/>
          </w:tcPr>
          <w:p w:rsidR="002F62FF" w:rsidRPr="003E0314" w:rsidRDefault="002F62FF" w:rsidP="002F62FF">
            <w:pPr>
              <w:pStyle w:val="TableParagraph"/>
              <w:spacing w:line="301" w:lineRule="exact"/>
              <w:rPr>
                <w:sz w:val="28"/>
                <w:lang w:val="ru-RU"/>
              </w:rPr>
            </w:pPr>
            <w:r>
              <w:rPr>
                <w:sz w:val="28"/>
                <w:lang w:val="ru-RU"/>
              </w:rPr>
              <w:t>218,9</w:t>
            </w:r>
          </w:p>
        </w:tc>
      </w:tr>
      <w:tr w:rsidR="002F62FF">
        <w:trPr>
          <w:trHeight w:val="602"/>
        </w:trPr>
        <w:tc>
          <w:tcPr>
            <w:tcW w:w="458" w:type="dxa"/>
          </w:tcPr>
          <w:p w:rsidR="002F62FF" w:rsidRDefault="002F62FF" w:rsidP="002F62FF">
            <w:pPr>
              <w:pStyle w:val="TableParagraph"/>
              <w:spacing w:line="303" w:lineRule="exact"/>
              <w:ind w:left="119"/>
              <w:rPr>
                <w:sz w:val="28"/>
              </w:rPr>
            </w:pPr>
            <w:r>
              <w:rPr>
                <w:spacing w:val="-10"/>
                <w:sz w:val="28"/>
              </w:rPr>
              <w:t>5</w:t>
            </w:r>
          </w:p>
        </w:tc>
        <w:tc>
          <w:tcPr>
            <w:tcW w:w="1985" w:type="dxa"/>
          </w:tcPr>
          <w:p w:rsidR="002F62FF" w:rsidRDefault="002F62FF" w:rsidP="002F62FF">
            <w:pPr>
              <w:pStyle w:val="TableParagraph"/>
              <w:ind w:left="120" w:right="291"/>
              <w:rPr>
                <w:sz w:val="28"/>
              </w:rPr>
            </w:pPr>
            <w:r>
              <w:rPr>
                <w:sz w:val="28"/>
              </w:rPr>
              <w:t>Diğer</w:t>
            </w:r>
            <w:r>
              <w:rPr>
                <w:spacing w:val="-3"/>
                <w:sz w:val="28"/>
              </w:rPr>
              <w:t xml:space="preserve"> </w:t>
            </w:r>
            <w:r>
              <w:rPr>
                <w:sz w:val="28"/>
              </w:rPr>
              <w:t xml:space="preserve">ve </w:t>
            </w:r>
            <w:r>
              <w:rPr>
                <w:spacing w:val="-6"/>
                <w:sz w:val="28"/>
              </w:rPr>
              <w:t>teknik</w:t>
            </w:r>
          </w:p>
        </w:tc>
        <w:tc>
          <w:tcPr>
            <w:tcW w:w="1418" w:type="dxa"/>
          </w:tcPr>
          <w:p w:rsidR="002F62FF" w:rsidRDefault="002F62FF" w:rsidP="002F62FF">
            <w:pPr>
              <w:pStyle w:val="TableParagraph"/>
              <w:spacing w:line="303" w:lineRule="exact"/>
              <w:ind w:left="118"/>
              <w:rPr>
                <w:sz w:val="28"/>
              </w:rPr>
            </w:pPr>
            <w:r>
              <w:rPr>
                <w:sz w:val="28"/>
              </w:rPr>
              <w:t>40</w:t>
            </w:r>
            <w:r>
              <w:rPr>
                <w:spacing w:val="-3"/>
                <w:sz w:val="28"/>
              </w:rPr>
              <w:t xml:space="preserve"> </w:t>
            </w:r>
            <w:r>
              <w:rPr>
                <w:spacing w:val="-2"/>
                <w:sz w:val="28"/>
              </w:rPr>
              <w:t>175,61</w:t>
            </w:r>
          </w:p>
        </w:tc>
        <w:tc>
          <w:tcPr>
            <w:tcW w:w="1560" w:type="dxa"/>
          </w:tcPr>
          <w:p w:rsidR="002F62FF" w:rsidRDefault="002F62FF" w:rsidP="002F62FF">
            <w:pPr>
              <w:pStyle w:val="TableParagraph"/>
              <w:spacing w:line="303" w:lineRule="exact"/>
              <w:rPr>
                <w:sz w:val="28"/>
              </w:rPr>
            </w:pPr>
            <w:r>
              <w:rPr>
                <w:sz w:val="28"/>
              </w:rPr>
              <w:t>70</w:t>
            </w:r>
            <w:r>
              <w:rPr>
                <w:spacing w:val="-3"/>
                <w:sz w:val="28"/>
              </w:rPr>
              <w:t xml:space="preserve"> </w:t>
            </w:r>
            <w:r>
              <w:rPr>
                <w:spacing w:val="-2"/>
                <w:sz w:val="28"/>
              </w:rPr>
              <w:t>988,40</w:t>
            </w:r>
          </w:p>
        </w:tc>
        <w:tc>
          <w:tcPr>
            <w:tcW w:w="1558" w:type="dxa"/>
          </w:tcPr>
          <w:p w:rsidR="002F62FF" w:rsidRDefault="002F62FF" w:rsidP="002F62FF">
            <w:pPr>
              <w:pStyle w:val="TableParagraph"/>
              <w:spacing w:line="303" w:lineRule="exact"/>
              <w:rPr>
                <w:sz w:val="28"/>
              </w:rPr>
            </w:pPr>
            <w:r>
              <w:rPr>
                <w:sz w:val="28"/>
              </w:rPr>
              <w:t>151</w:t>
            </w:r>
            <w:r>
              <w:rPr>
                <w:spacing w:val="-8"/>
                <w:sz w:val="28"/>
              </w:rPr>
              <w:t xml:space="preserve"> </w:t>
            </w:r>
            <w:r>
              <w:rPr>
                <w:spacing w:val="-2"/>
                <w:sz w:val="28"/>
              </w:rPr>
              <w:t>511,4</w:t>
            </w:r>
          </w:p>
        </w:tc>
        <w:tc>
          <w:tcPr>
            <w:tcW w:w="1560" w:type="dxa"/>
          </w:tcPr>
          <w:p w:rsidR="002F62FF" w:rsidRPr="003E0314" w:rsidRDefault="002F62FF" w:rsidP="002F62FF">
            <w:pPr>
              <w:pStyle w:val="TableParagraph"/>
              <w:spacing w:line="303" w:lineRule="exact"/>
              <w:rPr>
                <w:sz w:val="28"/>
                <w:lang w:val="ru-RU"/>
              </w:rPr>
            </w:pPr>
            <w:r>
              <w:rPr>
                <w:sz w:val="28"/>
                <w:lang w:val="ru-RU"/>
              </w:rPr>
              <w:t>26 757,82</w:t>
            </w:r>
          </w:p>
        </w:tc>
        <w:tc>
          <w:tcPr>
            <w:tcW w:w="1560" w:type="dxa"/>
          </w:tcPr>
          <w:p w:rsidR="002F62FF" w:rsidRPr="003E0314" w:rsidRDefault="002F62FF" w:rsidP="002F62FF">
            <w:pPr>
              <w:pStyle w:val="TableParagraph"/>
              <w:spacing w:line="303" w:lineRule="exact"/>
              <w:rPr>
                <w:sz w:val="28"/>
                <w:lang w:val="ru-RU"/>
              </w:rPr>
            </w:pPr>
            <w:r>
              <w:rPr>
                <w:sz w:val="28"/>
                <w:lang w:val="ru-RU"/>
              </w:rPr>
              <w:t>80 009,3</w:t>
            </w:r>
          </w:p>
        </w:tc>
      </w:tr>
      <w:tr w:rsidR="002F62FF">
        <w:trPr>
          <w:trHeight w:val="642"/>
        </w:trPr>
        <w:tc>
          <w:tcPr>
            <w:tcW w:w="458" w:type="dxa"/>
          </w:tcPr>
          <w:p w:rsidR="002F62FF" w:rsidRDefault="002F62FF" w:rsidP="002F62FF">
            <w:pPr>
              <w:pStyle w:val="TableParagraph"/>
              <w:spacing w:line="312" w:lineRule="exact"/>
              <w:ind w:left="119"/>
              <w:rPr>
                <w:sz w:val="28"/>
              </w:rPr>
            </w:pPr>
            <w:r>
              <w:rPr>
                <w:spacing w:val="-10"/>
                <w:sz w:val="28"/>
              </w:rPr>
              <w:t>6</w:t>
            </w:r>
          </w:p>
        </w:tc>
        <w:tc>
          <w:tcPr>
            <w:tcW w:w="1985" w:type="dxa"/>
          </w:tcPr>
          <w:p w:rsidR="002F62FF" w:rsidRDefault="002F62FF" w:rsidP="002F62FF">
            <w:pPr>
              <w:pStyle w:val="TableParagraph"/>
              <w:spacing w:line="228" w:lineRule="auto"/>
              <w:ind w:left="120" w:right="291"/>
              <w:rPr>
                <w:sz w:val="28"/>
              </w:rPr>
            </w:pPr>
            <w:r>
              <w:rPr>
                <w:spacing w:val="-2"/>
                <w:sz w:val="28"/>
              </w:rPr>
              <w:t>Okuma</w:t>
            </w:r>
            <w:r>
              <w:rPr>
                <w:spacing w:val="-23"/>
                <w:sz w:val="28"/>
              </w:rPr>
              <w:t xml:space="preserve"> </w:t>
            </w:r>
            <w:r>
              <w:rPr>
                <w:spacing w:val="-2"/>
                <w:sz w:val="28"/>
              </w:rPr>
              <w:t>ofis için mobilyalar</w:t>
            </w:r>
          </w:p>
        </w:tc>
        <w:tc>
          <w:tcPr>
            <w:tcW w:w="1418" w:type="dxa"/>
          </w:tcPr>
          <w:p w:rsidR="002F62FF" w:rsidRDefault="002F62FF" w:rsidP="002F62FF">
            <w:pPr>
              <w:pStyle w:val="TableParagraph"/>
              <w:spacing w:line="312" w:lineRule="exact"/>
              <w:ind w:left="118"/>
              <w:rPr>
                <w:sz w:val="28"/>
              </w:rPr>
            </w:pPr>
            <w:r>
              <w:rPr>
                <w:sz w:val="28"/>
              </w:rPr>
              <w:t>2</w:t>
            </w:r>
            <w:r>
              <w:rPr>
                <w:spacing w:val="-2"/>
                <w:sz w:val="28"/>
              </w:rPr>
              <w:t xml:space="preserve"> 170,56</w:t>
            </w:r>
          </w:p>
        </w:tc>
        <w:tc>
          <w:tcPr>
            <w:tcW w:w="1560" w:type="dxa"/>
          </w:tcPr>
          <w:p w:rsidR="002F62FF" w:rsidRDefault="002F62FF" w:rsidP="002F62FF">
            <w:pPr>
              <w:pStyle w:val="TableParagraph"/>
              <w:spacing w:line="312" w:lineRule="exact"/>
              <w:rPr>
                <w:sz w:val="28"/>
              </w:rPr>
            </w:pPr>
          </w:p>
        </w:tc>
        <w:tc>
          <w:tcPr>
            <w:tcW w:w="1558" w:type="dxa"/>
          </w:tcPr>
          <w:p w:rsidR="002F62FF" w:rsidRDefault="002F62FF" w:rsidP="002F62FF">
            <w:pPr>
              <w:pStyle w:val="TableParagraph"/>
              <w:spacing w:line="312" w:lineRule="exact"/>
              <w:rPr>
                <w:sz w:val="28"/>
              </w:rPr>
            </w:pPr>
            <w:r>
              <w:rPr>
                <w:sz w:val="28"/>
              </w:rPr>
              <w:t>27</w:t>
            </w:r>
            <w:r>
              <w:rPr>
                <w:spacing w:val="-5"/>
                <w:sz w:val="28"/>
              </w:rPr>
              <w:t xml:space="preserve"> </w:t>
            </w:r>
            <w:r>
              <w:rPr>
                <w:spacing w:val="-2"/>
                <w:sz w:val="28"/>
              </w:rPr>
              <w:t>226,4</w:t>
            </w:r>
          </w:p>
        </w:tc>
        <w:tc>
          <w:tcPr>
            <w:tcW w:w="1560" w:type="dxa"/>
          </w:tcPr>
          <w:p w:rsidR="002F62FF" w:rsidRPr="003E0314" w:rsidRDefault="002F62FF" w:rsidP="002F62FF">
            <w:pPr>
              <w:pStyle w:val="TableParagraph"/>
              <w:spacing w:line="312" w:lineRule="exact"/>
              <w:rPr>
                <w:sz w:val="28"/>
                <w:lang w:val="ru-RU"/>
              </w:rPr>
            </w:pPr>
            <w:r>
              <w:rPr>
                <w:sz w:val="28"/>
                <w:lang w:val="ru-RU"/>
              </w:rPr>
              <w:t>55 842,60</w:t>
            </w:r>
          </w:p>
        </w:tc>
        <w:tc>
          <w:tcPr>
            <w:tcW w:w="1560" w:type="dxa"/>
          </w:tcPr>
          <w:p w:rsidR="002F62FF" w:rsidRPr="003E0314" w:rsidRDefault="002F62FF" w:rsidP="002F62FF">
            <w:pPr>
              <w:pStyle w:val="TableParagraph"/>
              <w:spacing w:line="312" w:lineRule="exact"/>
              <w:rPr>
                <w:sz w:val="28"/>
                <w:lang w:val="ru-RU"/>
              </w:rPr>
            </w:pPr>
            <w:r>
              <w:rPr>
                <w:sz w:val="28"/>
                <w:lang w:val="ru-RU"/>
              </w:rPr>
              <w:t>22 884,8</w:t>
            </w:r>
          </w:p>
        </w:tc>
      </w:tr>
      <w:tr w:rsidR="002F62FF">
        <w:trPr>
          <w:trHeight w:val="321"/>
        </w:trPr>
        <w:tc>
          <w:tcPr>
            <w:tcW w:w="458" w:type="dxa"/>
          </w:tcPr>
          <w:p w:rsidR="002F62FF" w:rsidRDefault="002F62FF" w:rsidP="002F62FF">
            <w:pPr>
              <w:pStyle w:val="TableParagraph"/>
              <w:spacing w:line="240" w:lineRule="auto"/>
              <w:ind w:left="0"/>
              <w:rPr>
                <w:sz w:val="24"/>
              </w:rPr>
            </w:pPr>
          </w:p>
        </w:tc>
        <w:tc>
          <w:tcPr>
            <w:tcW w:w="1985" w:type="dxa"/>
          </w:tcPr>
          <w:p w:rsidR="002F62FF" w:rsidRDefault="002F62FF" w:rsidP="002F62FF">
            <w:pPr>
              <w:pStyle w:val="TableParagraph"/>
              <w:ind w:left="120"/>
              <w:rPr>
                <w:b/>
                <w:sz w:val="28"/>
              </w:rPr>
            </w:pPr>
            <w:r>
              <w:rPr>
                <w:b/>
                <w:spacing w:val="-2"/>
                <w:sz w:val="28"/>
              </w:rPr>
              <w:t>Her şey</w:t>
            </w:r>
          </w:p>
        </w:tc>
        <w:tc>
          <w:tcPr>
            <w:tcW w:w="1418" w:type="dxa"/>
          </w:tcPr>
          <w:p w:rsidR="002F62FF" w:rsidRDefault="002F62FF" w:rsidP="002F62FF">
            <w:pPr>
              <w:pStyle w:val="TableParagraph"/>
              <w:ind w:left="118"/>
              <w:rPr>
                <w:b/>
                <w:sz w:val="28"/>
              </w:rPr>
            </w:pPr>
            <w:r>
              <w:rPr>
                <w:b/>
                <w:sz w:val="28"/>
              </w:rPr>
              <w:t>220</w:t>
            </w:r>
            <w:r>
              <w:rPr>
                <w:b/>
                <w:spacing w:val="-11"/>
                <w:sz w:val="28"/>
              </w:rPr>
              <w:t xml:space="preserve"> </w:t>
            </w:r>
            <w:r>
              <w:rPr>
                <w:b/>
                <w:spacing w:val="-2"/>
                <w:sz w:val="28"/>
              </w:rPr>
              <w:t>206,41</w:t>
            </w:r>
          </w:p>
        </w:tc>
        <w:tc>
          <w:tcPr>
            <w:tcW w:w="1560" w:type="dxa"/>
          </w:tcPr>
          <w:p w:rsidR="002F62FF" w:rsidRDefault="002F62FF" w:rsidP="002F62FF">
            <w:pPr>
              <w:pStyle w:val="TableParagraph"/>
              <w:rPr>
                <w:b/>
                <w:sz w:val="28"/>
              </w:rPr>
            </w:pPr>
            <w:r>
              <w:rPr>
                <w:b/>
                <w:sz w:val="28"/>
              </w:rPr>
              <w:t>325</w:t>
            </w:r>
            <w:r>
              <w:rPr>
                <w:b/>
                <w:spacing w:val="-11"/>
                <w:sz w:val="28"/>
              </w:rPr>
              <w:t xml:space="preserve"> </w:t>
            </w:r>
            <w:r>
              <w:rPr>
                <w:b/>
                <w:spacing w:val="-2"/>
                <w:sz w:val="28"/>
              </w:rPr>
              <w:t>490,77</w:t>
            </w:r>
          </w:p>
        </w:tc>
        <w:tc>
          <w:tcPr>
            <w:tcW w:w="1558" w:type="dxa"/>
          </w:tcPr>
          <w:p w:rsidR="002F62FF" w:rsidRDefault="002F62FF" w:rsidP="002F62FF">
            <w:pPr>
              <w:pStyle w:val="TableParagraph"/>
              <w:rPr>
                <w:b/>
                <w:sz w:val="28"/>
              </w:rPr>
            </w:pPr>
            <w:r>
              <w:rPr>
                <w:b/>
                <w:sz w:val="28"/>
              </w:rPr>
              <w:t>280</w:t>
            </w:r>
            <w:r>
              <w:rPr>
                <w:b/>
                <w:spacing w:val="-8"/>
                <w:sz w:val="28"/>
              </w:rPr>
              <w:t xml:space="preserve"> </w:t>
            </w:r>
            <w:r>
              <w:rPr>
                <w:b/>
                <w:spacing w:val="-2"/>
                <w:sz w:val="28"/>
              </w:rPr>
              <w:t>391,8</w:t>
            </w:r>
          </w:p>
        </w:tc>
        <w:tc>
          <w:tcPr>
            <w:tcW w:w="1560" w:type="dxa"/>
          </w:tcPr>
          <w:p w:rsidR="002F62FF" w:rsidRPr="003E0314" w:rsidRDefault="002F62FF" w:rsidP="002F62FF">
            <w:pPr>
              <w:pStyle w:val="TableParagraph"/>
              <w:rPr>
                <w:b/>
                <w:sz w:val="28"/>
                <w:lang w:val="ru-RU"/>
              </w:rPr>
            </w:pPr>
            <w:r>
              <w:rPr>
                <w:b/>
                <w:sz w:val="28"/>
                <w:lang w:val="ru-RU"/>
              </w:rPr>
              <w:t>218 793,77</w:t>
            </w:r>
          </w:p>
        </w:tc>
        <w:tc>
          <w:tcPr>
            <w:tcW w:w="1560" w:type="dxa"/>
          </w:tcPr>
          <w:p w:rsidR="002F62FF" w:rsidRPr="003E0314" w:rsidRDefault="002F62FF" w:rsidP="002F62FF">
            <w:pPr>
              <w:pStyle w:val="TableParagraph"/>
              <w:rPr>
                <w:b/>
                <w:sz w:val="28"/>
                <w:lang w:val="ru-RU"/>
              </w:rPr>
            </w:pPr>
            <w:r>
              <w:rPr>
                <w:b/>
                <w:sz w:val="28"/>
                <w:lang w:val="ru-RU"/>
              </w:rPr>
              <w:t>259 776,6</w:t>
            </w:r>
          </w:p>
        </w:tc>
      </w:tr>
    </w:tbl>
    <w:p w:rsidR="00D30E26" w:rsidRDefault="00D30E26">
      <w:pPr>
        <w:pStyle w:val="a3"/>
        <w:spacing w:before="185"/>
        <w:ind w:left="0"/>
        <w:jc w:val="left"/>
        <w:rPr>
          <w:b/>
        </w:rPr>
      </w:pPr>
    </w:p>
    <w:p w:rsidR="00D30E26" w:rsidRDefault="000444A9">
      <w:pPr>
        <w:pStyle w:val="a3"/>
        <w:ind w:right="717" w:firstLine="705"/>
      </w:pPr>
      <w:r>
        <w:t>Üniversite bünyesinde Çimkent ve Kentau şehirlerinde bulunan 2 (iki) enstitü tek bir eğitim döngüsünün şubeleri olup, üniversitenin bilimsel potansiyelinin temelini oluşturan ve devlet alanında bilimsel araştırmalar yürüten 6 (altı) araştırma enstitüsü bulunmaktadır. öğretim faaliyetleriyle birlikte hibeler.</w:t>
      </w:r>
    </w:p>
    <w:p w:rsidR="00D30E26" w:rsidRDefault="000444A9">
      <w:pPr>
        <w:pStyle w:val="a3"/>
        <w:spacing w:before="3"/>
        <w:ind w:right="713" w:firstLine="705"/>
      </w:pPr>
      <w:r>
        <w:t>Üniversitenin gazlaştırılması kullanım maliyetlerini azaltacak 15-</w:t>
      </w:r>
      <w:r>
        <w:rPr>
          <w:spacing w:val="40"/>
        </w:rPr>
        <w:t xml:space="preserve"> </w:t>
      </w:r>
      <w:r>
        <w:t>%17'den %4-7'ye düşürüldü. Üniversitenin kendi dizel yakıtlı kazanı, üniversitenin tüm akademik ve idari binalarının ısıtılmasını sağlamaktadır.</w:t>
      </w:r>
      <w:r>
        <w:rPr>
          <w:spacing w:val="-4"/>
        </w:rPr>
        <w:t xml:space="preserve"> </w:t>
      </w:r>
      <w:r>
        <w:t>Elektrik kesintisi durumunda elektrik için bir çiftlik ve yedek depo var</w:t>
      </w:r>
      <w:r>
        <w:rPr>
          <w:spacing w:val="80"/>
        </w:rPr>
        <w:t xml:space="preserve"> </w:t>
      </w:r>
      <w:r>
        <w:t>- bir trafo merkezi var. Üniversitenin telefon santrali varsa iletişim hizmeti, yabancı ortaklarla başarılı bağlantılar kurulmasına yardımcı olur. Yani, verilen görevlerin doğru şekilde yerine getirilmesi için tüm koşullar oluşturulmuştur.</w:t>
      </w:r>
    </w:p>
    <w:p w:rsidR="00D30E26" w:rsidRDefault="000444A9">
      <w:pPr>
        <w:pStyle w:val="a3"/>
        <w:spacing w:before="2"/>
        <w:ind w:right="732" w:firstLine="988"/>
      </w:pPr>
      <w:r>
        <w:t>Üniversitemiz toplam 51 (elli bir) adetlik geniş bir otomobil filosuna sahiptir.</w:t>
      </w:r>
    </w:p>
    <w:p w:rsidR="00D30E26" w:rsidRDefault="00D30E26">
      <w:pPr>
        <w:sectPr w:rsidR="00D30E26">
          <w:pgSz w:w="11930" w:h="16860"/>
          <w:pgMar w:top="940" w:right="120" w:bottom="280" w:left="1480" w:header="720" w:footer="720" w:gutter="0"/>
          <w:cols w:space="720"/>
        </w:sectPr>
      </w:pPr>
    </w:p>
    <w:p w:rsidR="00D30E26" w:rsidRDefault="000444A9">
      <w:pPr>
        <w:pStyle w:val="a3"/>
        <w:spacing w:before="61"/>
        <w:ind w:right="720"/>
      </w:pPr>
      <w:r>
        <w:lastRenderedPageBreak/>
        <w:t>ulaşım hizmetlerini kullanmadan çalışmanıza olanak tanır. Üniversite servis ve bölüm çalışanlarına uygun çalışma</w:t>
      </w:r>
      <w:r>
        <w:rPr>
          <w:spacing w:val="80"/>
        </w:rPr>
        <w:t xml:space="preserve"> </w:t>
      </w:r>
      <w:r>
        <w:t>Koşulları sağlamak için işyerlerinin donatılması yıllık olarak g</w:t>
      </w:r>
      <w:r w:rsidR="002F62FF">
        <w:t>erçekleştirilir. Tablo 3'te 2020</w:t>
      </w:r>
      <w:r>
        <w:t>-202</w:t>
      </w:r>
      <w:r w:rsidR="002F62FF">
        <w:rPr>
          <w:lang w:val="kk-KZ"/>
        </w:rPr>
        <w:t>4</w:t>
      </w:r>
      <w:r>
        <w:t xml:space="preserve"> yılında üniversite hizmetleri ve bölümleri için maddi varlık alımlarına ilişkin bilgiler aşağıda verilmektedir:</w:t>
      </w:r>
    </w:p>
    <w:p w:rsidR="00D30E26" w:rsidRDefault="000444A9">
      <w:pPr>
        <w:pStyle w:val="1"/>
        <w:spacing w:before="18"/>
        <w:ind w:left="2850" w:right="0"/>
        <w:jc w:val="both"/>
      </w:pPr>
      <w:bookmarkStart w:id="4" w:name="Кесте_3._Деректер_мың_теңгемен"/>
      <w:bookmarkEnd w:id="4"/>
      <w:r>
        <w:t>Masa</w:t>
      </w:r>
      <w:r>
        <w:rPr>
          <w:spacing w:val="-16"/>
        </w:rPr>
        <w:t xml:space="preserve"> </w:t>
      </w:r>
      <w:r>
        <w:t>3.</w:t>
      </w:r>
      <w:r>
        <w:rPr>
          <w:spacing w:val="-14"/>
        </w:rPr>
        <w:t xml:space="preserve"> </w:t>
      </w:r>
      <w:r>
        <w:t>Veri</w:t>
      </w:r>
      <w:r>
        <w:rPr>
          <w:spacing w:val="-16"/>
        </w:rPr>
        <w:t xml:space="preserve"> </w:t>
      </w:r>
      <w:r>
        <w:t>bin</w:t>
      </w:r>
      <w:r>
        <w:rPr>
          <w:spacing w:val="-16"/>
        </w:rPr>
        <w:t xml:space="preserve"> </w:t>
      </w:r>
      <w:r>
        <w:rPr>
          <w:spacing w:val="-2"/>
        </w:rPr>
        <w:t>tenge olarak</w:t>
      </w:r>
    </w:p>
    <w:p w:rsidR="00D30E26" w:rsidRDefault="00D30E26">
      <w:pPr>
        <w:pStyle w:val="a3"/>
        <w:spacing w:before="10"/>
        <w:ind w:left="0"/>
        <w:jc w:val="left"/>
        <w:rPr>
          <w:b/>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908"/>
        <w:gridCol w:w="1415"/>
        <w:gridCol w:w="1418"/>
        <w:gridCol w:w="1417"/>
        <w:gridCol w:w="1418"/>
        <w:gridCol w:w="1413"/>
      </w:tblGrid>
      <w:tr w:rsidR="000444A9" w:rsidTr="002F62FF">
        <w:trPr>
          <w:trHeight w:val="326"/>
        </w:trPr>
        <w:tc>
          <w:tcPr>
            <w:tcW w:w="679" w:type="dxa"/>
          </w:tcPr>
          <w:p w:rsidR="000444A9" w:rsidRPr="000444A9" w:rsidRDefault="000444A9" w:rsidP="000444A9">
            <w:pPr>
              <w:pStyle w:val="TableParagraph"/>
              <w:spacing w:line="305" w:lineRule="exact"/>
              <w:ind w:left="47" w:right="8"/>
              <w:jc w:val="center"/>
              <w:rPr>
                <w:b/>
                <w:sz w:val="28"/>
                <w:lang w:val="kk-KZ"/>
              </w:rPr>
            </w:pPr>
            <w:r>
              <w:rPr>
                <w:b/>
                <w:spacing w:val="-10"/>
                <w:sz w:val="28"/>
                <w:lang w:val="kk-KZ"/>
              </w:rPr>
              <w:t>№</w:t>
            </w:r>
          </w:p>
        </w:tc>
        <w:tc>
          <w:tcPr>
            <w:tcW w:w="1908" w:type="dxa"/>
          </w:tcPr>
          <w:p w:rsidR="000444A9" w:rsidRDefault="000444A9" w:rsidP="000444A9">
            <w:pPr>
              <w:pStyle w:val="TableParagraph"/>
              <w:spacing w:line="305" w:lineRule="exact"/>
              <w:ind w:left="847"/>
              <w:rPr>
                <w:b/>
                <w:sz w:val="28"/>
              </w:rPr>
            </w:pPr>
            <w:r>
              <w:rPr>
                <w:b/>
                <w:spacing w:val="-2"/>
                <w:sz w:val="28"/>
              </w:rPr>
              <w:t>İsim</w:t>
            </w:r>
          </w:p>
        </w:tc>
        <w:tc>
          <w:tcPr>
            <w:tcW w:w="1415" w:type="dxa"/>
          </w:tcPr>
          <w:p w:rsidR="000444A9" w:rsidRDefault="000444A9" w:rsidP="000444A9">
            <w:pPr>
              <w:pStyle w:val="TableParagraph"/>
              <w:spacing w:line="305" w:lineRule="exact"/>
              <w:ind w:left="40" w:right="4"/>
              <w:jc w:val="center"/>
              <w:rPr>
                <w:b/>
                <w:sz w:val="28"/>
              </w:rPr>
            </w:pPr>
            <w:r>
              <w:rPr>
                <w:b/>
                <w:spacing w:val="-4"/>
                <w:sz w:val="28"/>
              </w:rPr>
              <w:t>2020</w:t>
            </w:r>
          </w:p>
        </w:tc>
        <w:tc>
          <w:tcPr>
            <w:tcW w:w="1418" w:type="dxa"/>
          </w:tcPr>
          <w:p w:rsidR="000444A9" w:rsidRDefault="000444A9" w:rsidP="000444A9">
            <w:pPr>
              <w:pStyle w:val="TableParagraph"/>
              <w:spacing w:line="305" w:lineRule="exact"/>
              <w:ind w:left="45" w:right="6"/>
              <w:jc w:val="center"/>
              <w:rPr>
                <w:b/>
                <w:sz w:val="28"/>
              </w:rPr>
            </w:pPr>
            <w:r>
              <w:rPr>
                <w:b/>
                <w:spacing w:val="-4"/>
                <w:sz w:val="28"/>
              </w:rPr>
              <w:t>2021</w:t>
            </w:r>
          </w:p>
        </w:tc>
        <w:tc>
          <w:tcPr>
            <w:tcW w:w="1417" w:type="dxa"/>
          </w:tcPr>
          <w:p w:rsidR="000444A9" w:rsidRDefault="000444A9" w:rsidP="000444A9">
            <w:pPr>
              <w:pStyle w:val="TableParagraph"/>
              <w:spacing w:line="305" w:lineRule="exact"/>
              <w:ind w:left="20" w:right="4"/>
              <w:jc w:val="center"/>
              <w:rPr>
                <w:b/>
                <w:sz w:val="28"/>
              </w:rPr>
            </w:pPr>
            <w:r>
              <w:rPr>
                <w:b/>
                <w:spacing w:val="-4"/>
                <w:sz w:val="28"/>
              </w:rPr>
              <w:t>2022</w:t>
            </w:r>
          </w:p>
        </w:tc>
        <w:tc>
          <w:tcPr>
            <w:tcW w:w="1418" w:type="dxa"/>
          </w:tcPr>
          <w:p w:rsidR="000444A9" w:rsidRDefault="000444A9" w:rsidP="000444A9">
            <w:pPr>
              <w:pStyle w:val="TableParagraph"/>
              <w:spacing w:line="305" w:lineRule="exact"/>
              <w:ind w:left="45" w:right="6"/>
              <w:jc w:val="center"/>
              <w:rPr>
                <w:b/>
                <w:sz w:val="28"/>
              </w:rPr>
            </w:pPr>
            <w:r>
              <w:rPr>
                <w:b/>
                <w:spacing w:val="-4"/>
                <w:sz w:val="28"/>
              </w:rPr>
              <w:t>2023</w:t>
            </w:r>
          </w:p>
        </w:tc>
        <w:tc>
          <w:tcPr>
            <w:tcW w:w="1413" w:type="dxa"/>
          </w:tcPr>
          <w:p w:rsidR="000444A9" w:rsidRDefault="000444A9" w:rsidP="000444A9">
            <w:pPr>
              <w:pStyle w:val="TableParagraph"/>
              <w:spacing w:line="305" w:lineRule="exact"/>
              <w:ind w:left="20" w:right="4"/>
              <w:jc w:val="center"/>
              <w:rPr>
                <w:b/>
                <w:sz w:val="28"/>
              </w:rPr>
            </w:pPr>
            <w:r>
              <w:rPr>
                <w:b/>
                <w:spacing w:val="-4"/>
                <w:sz w:val="28"/>
              </w:rPr>
              <w:t>2024</w:t>
            </w:r>
          </w:p>
        </w:tc>
      </w:tr>
      <w:tr w:rsidR="002F62FF" w:rsidTr="002F62FF">
        <w:trPr>
          <w:trHeight w:val="640"/>
        </w:trPr>
        <w:tc>
          <w:tcPr>
            <w:tcW w:w="679" w:type="dxa"/>
          </w:tcPr>
          <w:p w:rsidR="002F62FF" w:rsidRDefault="002F62FF" w:rsidP="002F62FF">
            <w:pPr>
              <w:pStyle w:val="TableParagraph"/>
              <w:spacing w:line="310" w:lineRule="exact"/>
              <w:ind w:left="47"/>
              <w:jc w:val="center"/>
              <w:rPr>
                <w:sz w:val="28"/>
              </w:rPr>
            </w:pPr>
            <w:r>
              <w:rPr>
                <w:spacing w:val="-10"/>
                <w:sz w:val="28"/>
              </w:rPr>
              <w:t>1</w:t>
            </w:r>
          </w:p>
        </w:tc>
        <w:tc>
          <w:tcPr>
            <w:tcW w:w="1908" w:type="dxa"/>
          </w:tcPr>
          <w:p w:rsidR="002F62FF" w:rsidRDefault="002F62FF" w:rsidP="002F62FF">
            <w:pPr>
              <w:pStyle w:val="TableParagraph"/>
              <w:spacing w:line="230" w:lineRule="auto"/>
              <w:ind w:left="117"/>
              <w:rPr>
                <w:sz w:val="28"/>
              </w:rPr>
            </w:pPr>
            <w:r>
              <w:rPr>
                <w:spacing w:val="-6"/>
                <w:sz w:val="28"/>
              </w:rPr>
              <w:t xml:space="preserve">Ev </w:t>
            </w:r>
            <w:r>
              <w:rPr>
                <w:spacing w:val="-2"/>
                <w:sz w:val="28"/>
              </w:rPr>
              <w:t>aletleri</w:t>
            </w:r>
          </w:p>
        </w:tc>
        <w:tc>
          <w:tcPr>
            <w:tcW w:w="1415" w:type="dxa"/>
          </w:tcPr>
          <w:p w:rsidR="002F62FF" w:rsidRDefault="002F62FF" w:rsidP="002F62FF">
            <w:pPr>
              <w:pStyle w:val="TableParagraph"/>
              <w:spacing w:line="310" w:lineRule="exact"/>
              <w:ind w:left="40"/>
              <w:jc w:val="center"/>
              <w:rPr>
                <w:sz w:val="28"/>
              </w:rPr>
            </w:pPr>
            <w:r>
              <w:rPr>
                <w:sz w:val="28"/>
              </w:rPr>
              <w:t>12</w:t>
            </w:r>
            <w:r>
              <w:rPr>
                <w:spacing w:val="-1"/>
                <w:sz w:val="28"/>
              </w:rPr>
              <w:t xml:space="preserve"> </w:t>
            </w:r>
            <w:r>
              <w:rPr>
                <w:spacing w:val="-2"/>
                <w:sz w:val="28"/>
              </w:rPr>
              <w:t>932,98</w:t>
            </w:r>
          </w:p>
        </w:tc>
        <w:tc>
          <w:tcPr>
            <w:tcW w:w="1418" w:type="dxa"/>
          </w:tcPr>
          <w:p w:rsidR="002F62FF" w:rsidRDefault="002F62FF" w:rsidP="002F62FF">
            <w:pPr>
              <w:pStyle w:val="TableParagraph"/>
              <w:spacing w:line="310" w:lineRule="exact"/>
              <w:ind w:left="45"/>
              <w:jc w:val="center"/>
              <w:rPr>
                <w:sz w:val="28"/>
              </w:rPr>
            </w:pPr>
            <w:r>
              <w:rPr>
                <w:sz w:val="28"/>
              </w:rPr>
              <w:t>26</w:t>
            </w:r>
            <w:r>
              <w:rPr>
                <w:spacing w:val="-3"/>
                <w:sz w:val="28"/>
              </w:rPr>
              <w:t xml:space="preserve"> </w:t>
            </w:r>
            <w:r>
              <w:rPr>
                <w:spacing w:val="-2"/>
                <w:sz w:val="28"/>
              </w:rPr>
              <w:t>262,86</w:t>
            </w:r>
          </w:p>
        </w:tc>
        <w:tc>
          <w:tcPr>
            <w:tcW w:w="1417" w:type="dxa"/>
          </w:tcPr>
          <w:p w:rsidR="002F62FF" w:rsidRDefault="002F62FF" w:rsidP="002F62FF">
            <w:pPr>
              <w:pStyle w:val="TableParagraph"/>
              <w:spacing w:line="310" w:lineRule="exact"/>
              <w:ind w:left="20" w:right="1"/>
              <w:jc w:val="center"/>
              <w:rPr>
                <w:sz w:val="28"/>
              </w:rPr>
            </w:pPr>
            <w:r>
              <w:rPr>
                <w:sz w:val="28"/>
              </w:rPr>
              <w:t>24</w:t>
            </w:r>
            <w:r>
              <w:rPr>
                <w:spacing w:val="-5"/>
                <w:sz w:val="28"/>
              </w:rPr>
              <w:t xml:space="preserve"> </w:t>
            </w:r>
            <w:r>
              <w:rPr>
                <w:spacing w:val="-2"/>
                <w:sz w:val="28"/>
              </w:rPr>
              <w:t>267,10</w:t>
            </w:r>
          </w:p>
        </w:tc>
        <w:tc>
          <w:tcPr>
            <w:tcW w:w="1418" w:type="dxa"/>
          </w:tcPr>
          <w:p w:rsidR="002F62FF" w:rsidRPr="00E75BB9" w:rsidRDefault="002F62FF" w:rsidP="002F62FF">
            <w:pPr>
              <w:pStyle w:val="TableParagraph"/>
              <w:spacing w:line="310" w:lineRule="exact"/>
              <w:ind w:left="45"/>
              <w:jc w:val="center"/>
              <w:rPr>
                <w:sz w:val="28"/>
                <w:lang w:val="ru-RU"/>
              </w:rPr>
            </w:pPr>
            <w:r>
              <w:rPr>
                <w:sz w:val="28"/>
                <w:lang w:val="ru-RU"/>
              </w:rPr>
              <w:t>19 804,51</w:t>
            </w:r>
          </w:p>
        </w:tc>
        <w:tc>
          <w:tcPr>
            <w:tcW w:w="1413" w:type="dxa"/>
          </w:tcPr>
          <w:p w:rsidR="002F62FF" w:rsidRPr="00E75BB9" w:rsidRDefault="002F62FF" w:rsidP="002F62FF">
            <w:pPr>
              <w:pStyle w:val="TableParagraph"/>
              <w:spacing w:line="310" w:lineRule="exact"/>
              <w:ind w:left="20" w:right="1"/>
              <w:jc w:val="center"/>
              <w:rPr>
                <w:sz w:val="28"/>
                <w:lang w:val="ru-RU"/>
              </w:rPr>
            </w:pPr>
            <w:r>
              <w:rPr>
                <w:sz w:val="28"/>
                <w:lang w:val="ru-RU"/>
              </w:rPr>
              <w:t>16 205,18</w:t>
            </w:r>
          </w:p>
        </w:tc>
      </w:tr>
      <w:tr w:rsidR="002F62FF" w:rsidTr="002F62FF">
        <w:trPr>
          <w:trHeight w:val="321"/>
        </w:trPr>
        <w:tc>
          <w:tcPr>
            <w:tcW w:w="679" w:type="dxa"/>
          </w:tcPr>
          <w:p w:rsidR="002F62FF" w:rsidRDefault="002F62FF" w:rsidP="002F62FF">
            <w:pPr>
              <w:pStyle w:val="TableParagraph"/>
              <w:spacing w:line="301" w:lineRule="exact"/>
              <w:ind w:left="47"/>
              <w:jc w:val="center"/>
              <w:rPr>
                <w:sz w:val="28"/>
              </w:rPr>
            </w:pPr>
            <w:r>
              <w:rPr>
                <w:spacing w:val="-10"/>
                <w:sz w:val="28"/>
              </w:rPr>
              <w:t>2</w:t>
            </w:r>
          </w:p>
        </w:tc>
        <w:tc>
          <w:tcPr>
            <w:tcW w:w="1908" w:type="dxa"/>
          </w:tcPr>
          <w:p w:rsidR="002F62FF" w:rsidRDefault="002F62FF" w:rsidP="002F62FF">
            <w:pPr>
              <w:pStyle w:val="TableParagraph"/>
              <w:spacing w:line="301" w:lineRule="exact"/>
              <w:ind w:left="117"/>
              <w:rPr>
                <w:sz w:val="28"/>
              </w:rPr>
            </w:pPr>
            <w:r>
              <w:rPr>
                <w:spacing w:val="-2"/>
                <w:sz w:val="28"/>
              </w:rPr>
              <w:t>Mobilya</w:t>
            </w:r>
          </w:p>
        </w:tc>
        <w:tc>
          <w:tcPr>
            <w:tcW w:w="1415" w:type="dxa"/>
          </w:tcPr>
          <w:p w:rsidR="002F62FF" w:rsidRDefault="002F62FF" w:rsidP="002F62FF">
            <w:pPr>
              <w:pStyle w:val="TableParagraph"/>
              <w:spacing w:line="301" w:lineRule="exact"/>
              <w:ind w:left="40"/>
              <w:jc w:val="center"/>
              <w:rPr>
                <w:sz w:val="28"/>
              </w:rPr>
            </w:pPr>
            <w:r>
              <w:rPr>
                <w:sz w:val="28"/>
              </w:rPr>
              <w:t>14</w:t>
            </w:r>
            <w:r>
              <w:rPr>
                <w:spacing w:val="-1"/>
                <w:sz w:val="28"/>
              </w:rPr>
              <w:t xml:space="preserve"> </w:t>
            </w:r>
            <w:r>
              <w:rPr>
                <w:spacing w:val="-2"/>
                <w:sz w:val="28"/>
              </w:rPr>
              <w:t>015,14</w:t>
            </w:r>
          </w:p>
        </w:tc>
        <w:tc>
          <w:tcPr>
            <w:tcW w:w="1418" w:type="dxa"/>
          </w:tcPr>
          <w:p w:rsidR="002F62FF" w:rsidRDefault="002F62FF" w:rsidP="002F62FF">
            <w:pPr>
              <w:pStyle w:val="TableParagraph"/>
              <w:spacing w:line="301" w:lineRule="exact"/>
              <w:ind w:left="45"/>
              <w:jc w:val="center"/>
              <w:rPr>
                <w:sz w:val="28"/>
              </w:rPr>
            </w:pPr>
            <w:r>
              <w:rPr>
                <w:sz w:val="28"/>
              </w:rPr>
              <w:t>14</w:t>
            </w:r>
            <w:r>
              <w:rPr>
                <w:spacing w:val="-3"/>
                <w:sz w:val="28"/>
              </w:rPr>
              <w:t xml:space="preserve"> </w:t>
            </w:r>
            <w:r>
              <w:rPr>
                <w:spacing w:val="-2"/>
                <w:sz w:val="28"/>
              </w:rPr>
              <w:t>418,19</w:t>
            </w:r>
          </w:p>
        </w:tc>
        <w:tc>
          <w:tcPr>
            <w:tcW w:w="1417" w:type="dxa"/>
          </w:tcPr>
          <w:p w:rsidR="002F62FF" w:rsidRDefault="002F62FF" w:rsidP="002F62FF">
            <w:pPr>
              <w:pStyle w:val="TableParagraph"/>
              <w:spacing w:line="301" w:lineRule="exact"/>
              <w:ind w:left="20"/>
              <w:jc w:val="center"/>
              <w:rPr>
                <w:sz w:val="28"/>
              </w:rPr>
            </w:pPr>
            <w:r>
              <w:rPr>
                <w:sz w:val="28"/>
              </w:rPr>
              <w:t>117</w:t>
            </w:r>
            <w:r>
              <w:rPr>
                <w:spacing w:val="-1"/>
                <w:sz w:val="28"/>
              </w:rPr>
              <w:t xml:space="preserve"> </w:t>
            </w:r>
            <w:r>
              <w:rPr>
                <w:spacing w:val="-2"/>
                <w:sz w:val="28"/>
              </w:rPr>
              <w:t>006,80</w:t>
            </w:r>
          </w:p>
        </w:tc>
        <w:tc>
          <w:tcPr>
            <w:tcW w:w="1418" w:type="dxa"/>
          </w:tcPr>
          <w:p w:rsidR="002F62FF" w:rsidRPr="00E75BB9" w:rsidRDefault="002F62FF" w:rsidP="002F62FF">
            <w:pPr>
              <w:pStyle w:val="TableParagraph"/>
              <w:spacing w:line="301" w:lineRule="exact"/>
              <w:ind w:left="45"/>
              <w:jc w:val="center"/>
              <w:rPr>
                <w:sz w:val="28"/>
                <w:lang w:val="ru-RU"/>
              </w:rPr>
            </w:pPr>
            <w:r>
              <w:rPr>
                <w:sz w:val="28"/>
                <w:lang w:val="ru-RU"/>
              </w:rPr>
              <w:t>72 700,43</w:t>
            </w:r>
          </w:p>
        </w:tc>
        <w:tc>
          <w:tcPr>
            <w:tcW w:w="1413" w:type="dxa"/>
          </w:tcPr>
          <w:p w:rsidR="002F62FF" w:rsidRPr="00E75BB9" w:rsidRDefault="002F62FF" w:rsidP="002F62FF">
            <w:pPr>
              <w:pStyle w:val="TableParagraph"/>
              <w:spacing w:line="301" w:lineRule="exact"/>
              <w:ind w:left="20"/>
              <w:jc w:val="center"/>
              <w:rPr>
                <w:sz w:val="28"/>
                <w:lang w:val="ru-RU"/>
              </w:rPr>
            </w:pPr>
            <w:r>
              <w:rPr>
                <w:sz w:val="28"/>
                <w:lang w:val="ru-RU"/>
              </w:rPr>
              <w:t>67 186,22</w:t>
            </w:r>
          </w:p>
        </w:tc>
      </w:tr>
      <w:tr w:rsidR="002F62FF" w:rsidTr="002F62FF">
        <w:trPr>
          <w:trHeight w:val="602"/>
        </w:trPr>
        <w:tc>
          <w:tcPr>
            <w:tcW w:w="679" w:type="dxa"/>
          </w:tcPr>
          <w:p w:rsidR="002F62FF" w:rsidRDefault="002F62FF" w:rsidP="002F62FF">
            <w:pPr>
              <w:pStyle w:val="TableParagraph"/>
              <w:spacing w:line="303" w:lineRule="exact"/>
              <w:ind w:left="47"/>
              <w:jc w:val="center"/>
              <w:rPr>
                <w:sz w:val="28"/>
              </w:rPr>
            </w:pPr>
            <w:r>
              <w:rPr>
                <w:spacing w:val="-10"/>
                <w:sz w:val="28"/>
              </w:rPr>
              <w:t>3</w:t>
            </w:r>
          </w:p>
        </w:tc>
        <w:tc>
          <w:tcPr>
            <w:tcW w:w="1908" w:type="dxa"/>
          </w:tcPr>
          <w:p w:rsidR="002F62FF" w:rsidRDefault="002F62FF" w:rsidP="002F62FF">
            <w:pPr>
              <w:pStyle w:val="TableParagraph"/>
              <w:ind w:left="117"/>
              <w:rPr>
                <w:sz w:val="28"/>
              </w:rPr>
            </w:pPr>
            <w:r>
              <w:rPr>
                <w:sz w:val="28"/>
              </w:rPr>
              <w:t xml:space="preserve">Başka bir </w:t>
            </w:r>
            <w:r>
              <w:rPr>
                <w:spacing w:val="-4"/>
                <w:sz w:val="28"/>
              </w:rPr>
              <w:t>teknik</w:t>
            </w:r>
          </w:p>
        </w:tc>
        <w:tc>
          <w:tcPr>
            <w:tcW w:w="1415" w:type="dxa"/>
          </w:tcPr>
          <w:p w:rsidR="002F62FF" w:rsidRDefault="002F62FF" w:rsidP="002F62FF">
            <w:pPr>
              <w:pStyle w:val="TableParagraph"/>
              <w:spacing w:line="303" w:lineRule="exact"/>
              <w:ind w:left="40"/>
              <w:jc w:val="center"/>
              <w:rPr>
                <w:sz w:val="28"/>
              </w:rPr>
            </w:pPr>
            <w:r>
              <w:rPr>
                <w:sz w:val="28"/>
              </w:rPr>
              <w:t>11</w:t>
            </w:r>
            <w:r>
              <w:rPr>
                <w:spacing w:val="-1"/>
                <w:sz w:val="28"/>
              </w:rPr>
              <w:t xml:space="preserve"> </w:t>
            </w:r>
            <w:r>
              <w:rPr>
                <w:spacing w:val="-2"/>
                <w:sz w:val="28"/>
              </w:rPr>
              <w:t>750,47</w:t>
            </w:r>
          </w:p>
        </w:tc>
        <w:tc>
          <w:tcPr>
            <w:tcW w:w="1418" w:type="dxa"/>
          </w:tcPr>
          <w:p w:rsidR="002F62FF" w:rsidRDefault="002F62FF" w:rsidP="002F62FF">
            <w:pPr>
              <w:pStyle w:val="TableParagraph"/>
              <w:spacing w:line="303" w:lineRule="exact"/>
              <w:ind w:left="45"/>
              <w:jc w:val="center"/>
              <w:rPr>
                <w:sz w:val="28"/>
              </w:rPr>
            </w:pPr>
            <w:r>
              <w:rPr>
                <w:sz w:val="28"/>
              </w:rPr>
              <w:t>44</w:t>
            </w:r>
            <w:r>
              <w:rPr>
                <w:spacing w:val="-3"/>
                <w:sz w:val="28"/>
              </w:rPr>
              <w:t xml:space="preserve"> </w:t>
            </w:r>
            <w:r>
              <w:rPr>
                <w:spacing w:val="-2"/>
                <w:sz w:val="28"/>
              </w:rPr>
              <w:t>725,54</w:t>
            </w:r>
          </w:p>
        </w:tc>
        <w:tc>
          <w:tcPr>
            <w:tcW w:w="1417" w:type="dxa"/>
          </w:tcPr>
          <w:p w:rsidR="002F62FF" w:rsidRDefault="002F62FF" w:rsidP="002F62FF">
            <w:pPr>
              <w:pStyle w:val="TableParagraph"/>
              <w:spacing w:line="303" w:lineRule="exact"/>
              <w:ind w:left="20"/>
              <w:jc w:val="center"/>
              <w:rPr>
                <w:sz w:val="28"/>
              </w:rPr>
            </w:pPr>
            <w:r>
              <w:rPr>
                <w:sz w:val="28"/>
              </w:rPr>
              <w:t>355</w:t>
            </w:r>
            <w:r>
              <w:rPr>
                <w:spacing w:val="-1"/>
                <w:sz w:val="28"/>
              </w:rPr>
              <w:t xml:space="preserve"> </w:t>
            </w:r>
            <w:r>
              <w:rPr>
                <w:spacing w:val="-2"/>
                <w:sz w:val="28"/>
              </w:rPr>
              <w:t>084,00</w:t>
            </w:r>
          </w:p>
        </w:tc>
        <w:tc>
          <w:tcPr>
            <w:tcW w:w="1418" w:type="dxa"/>
          </w:tcPr>
          <w:p w:rsidR="002F62FF" w:rsidRPr="00E75BB9" w:rsidRDefault="002F62FF" w:rsidP="002F62FF">
            <w:pPr>
              <w:pStyle w:val="TableParagraph"/>
              <w:spacing w:line="303" w:lineRule="exact"/>
              <w:ind w:left="45"/>
              <w:jc w:val="center"/>
              <w:rPr>
                <w:sz w:val="28"/>
                <w:lang w:val="ru-RU"/>
              </w:rPr>
            </w:pPr>
            <w:r>
              <w:rPr>
                <w:sz w:val="28"/>
                <w:lang w:val="ru-RU"/>
              </w:rPr>
              <w:t>62 260,88</w:t>
            </w:r>
          </w:p>
        </w:tc>
        <w:tc>
          <w:tcPr>
            <w:tcW w:w="1413" w:type="dxa"/>
          </w:tcPr>
          <w:p w:rsidR="002F62FF" w:rsidRPr="00E75BB9" w:rsidRDefault="002F62FF" w:rsidP="002F62FF">
            <w:pPr>
              <w:pStyle w:val="TableParagraph"/>
              <w:spacing w:line="303" w:lineRule="exact"/>
              <w:ind w:left="20"/>
              <w:jc w:val="center"/>
              <w:rPr>
                <w:sz w:val="28"/>
                <w:lang w:val="ru-RU"/>
              </w:rPr>
            </w:pPr>
            <w:r>
              <w:rPr>
                <w:sz w:val="28"/>
                <w:lang w:val="ru-RU"/>
              </w:rPr>
              <w:t>28 876,76</w:t>
            </w:r>
          </w:p>
        </w:tc>
      </w:tr>
      <w:tr w:rsidR="002F62FF" w:rsidTr="002F62FF">
        <w:trPr>
          <w:trHeight w:val="321"/>
        </w:trPr>
        <w:tc>
          <w:tcPr>
            <w:tcW w:w="679" w:type="dxa"/>
          </w:tcPr>
          <w:p w:rsidR="002F62FF" w:rsidRDefault="002F62FF" w:rsidP="002F62FF">
            <w:pPr>
              <w:pStyle w:val="TableParagraph"/>
              <w:spacing w:line="240" w:lineRule="auto"/>
              <w:ind w:left="0"/>
              <w:rPr>
                <w:sz w:val="24"/>
              </w:rPr>
            </w:pPr>
          </w:p>
        </w:tc>
        <w:tc>
          <w:tcPr>
            <w:tcW w:w="1908" w:type="dxa"/>
          </w:tcPr>
          <w:p w:rsidR="002F62FF" w:rsidRDefault="002F62FF" w:rsidP="002F62FF">
            <w:pPr>
              <w:pStyle w:val="TableParagraph"/>
              <w:ind w:left="117"/>
              <w:rPr>
                <w:b/>
                <w:sz w:val="28"/>
              </w:rPr>
            </w:pPr>
            <w:r>
              <w:rPr>
                <w:b/>
                <w:spacing w:val="-2"/>
                <w:sz w:val="28"/>
              </w:rPr>
              <w:t>Her şey</w:t>
            </w:r>
          </w:p>
        </w:tc>
        <w:tc>
          <w:tcPr>
            <w:tcW w:w="1415" w:type="dxa"/>
          </w:tcPr>
          <w:p w:rsidR="002F62FF" w:rsidRDefault="002F62FF" w:rsidP="002F62FF">
            <w:pPr>
              <w:pStyle w:val="TableParagraph"/>
              <w:ind w:left="40"/>
              <w:jc w:val="center"/>
              <w:rPr>
                <w:b/>
                <w:sz w:val="28"/>
              </w:rPr>
            </w:pPr>
            <w:r>
              <w:rPr>
                <w:b/>
                <w:sz w:val="28"/>
              </w:rPr>
              <w:t>40</w:t>
            </w:r>
            <w:r>
              <w:rPr>
                <w:b/>
                <w:spacing w:val="-1"/>
                <w:sz w:val="28"/>
              </w:rPr>
              <w:t xml:space="preserve"> </w:t>
            </w:r>
            <w:r>
              <w:rPr>
                <w:b/>
                <w:spacing w:val="-2"/>
                <w:sz w:val="28"/>
              </w:rPr>
              <w:t>718,59</w:t>
            </w:r>
          </w:p>
        </w:tc>
        <w:tc>
          <w:tcPr>
            <w:tcW w:w="1418" w:type="dxa"/>
          </w:tcPr>
          <w:p w:rsidR="002F62FF" w:rsidRDefault="002F62FF" w:rsidP="002F62FF">
            <w:pPr>
              <w:pStyle w:val="TableParagraph"/>
              <w:ind w:left="45"/>
              <w:jc w:val="center"/>
              <w:rPr>
                <w:b/>
                <w:sz w:val="28"/>
              </w:rPr>
            </w:pPr>
            <w:r>
              <w:rPr>
                <w:b/>
                <w:sz w:val="28"/>
              </w:rPr>
              <w:t>87</w:t>
            </w:r>
            <w:r>
              <w:rPr>
                <w:b/>
                <w:spacing w:val="-3"/>
                <w:sz w:val="28"/>
              </w:rPr>
              <w:t xml:space="preserve"> </w:t>
            </w:r>
            <w:r>
              <w:rPr>
                <w:b/>
                <w:spacing w:val="-2"/>
                <w:sz w:val="28"/>
              </w:rPr>
              <w:t>427,59</w:t>
            </w:r>
          </w:p>
        </w:tc>
        <w:tc>
          <w:tcPr>
            <w:tcW w:w="1417" w:type="dxa"/>
          </w:tcPr>
          <w:p w:rsidR="002F62FF" w:rsidRDefault="002F62FF" w:rsidP="002F62FF">
            <w:pPr>
              <w:pStyle w:val="TableParagraph"/>
              <w:ind w:left="20"/>
              <w:jc w:val="center"/>
              <w:rPr>
                <w:b/>
                <w:sz w:val="28"/>
              </w:rPr>
            </w:pPr>
            <w:r>
              <w:rPr>
                <w:b/>
                <w:sz w:val="28"/>
              </w:rPr>
              <w:t>496</w:t>
            </w:r>
            <w:r>
              <w:rPr>
                <w:b/>
                <w:spacing w:val="-1"/>
                <w:sz w:val="28"/>
              </w:rPr>
              <w:t xml:space="preserve"> </w:t>
            </w:r>
            <w:r>
              <w:rPr>
                <w:b/>
                <w:spacing w:val="-2"/>
                <w:sz w:val="28"/>
              </w:rPr>
              <w:t>357,90</w:t>
            </w:r>
          </w:p>
        </w:tc>
        <w:tc>
          <w:tcPr>
            <w:tcW w:w="1418" w:type="dxa"/>
          </w:tcPr>
          <w:p w:rsidR="002F62FF" w:rsidRPr="00E75BB9" w:rsidRDefault="002F62FF" w:rsidP="002F62FF">
            <w:pPr>
              <w:pStyle w:val="TableParagraph"/>
              <w:ind w:left="45"/>
              <w:jc w:val="center"/>
              <w:rPr>
                <w:b/>
                <w:sz w:val="28"/>
                <w:lang w:val="ru-RU"/>
              </w:rPr>
            </w:pPr>
            <w:r>
              <w:rPr>
                <w:b/>
                <w:sz w:val="28"/>
                <w:lang w:val="ru-RU"/>
              </w:rPr>
              <w:t>154 765,82</w:t>
            </w:r>
          </w:p>
        </w:tc>
        <w:tc>
          <w:tcPr>
            <w:tcW w:w="1413" w:type="dxa"/>
          </w:tcPr>
          <w:p w:rsidR="002F62FF" w:rsidRPr="00E75BB9" w:rsidRDefault="002F62FF" w:rsidP="002F62FF">
            <w:pPr>
              <w:pStyle w:val="TableParagraph"/>
              <w:ind w:left="20"/>
              <w:jc w:val="center"/>
              <w:rPr>
                <w:b/>
                <w:sz w:val="28"/>
                <w:lang w:val="ru-RU"/>
              </w:rPr>
            </w:pPr>
            <w:r>
              <w:rPr>
                <w:b/>
                <w:sz w:val="28"/>
                <w:lang w:val="ru-RU"/>
              </w:rPr>
              <w:t>112 268,16</w:t>
            </w:r>
          </w:p>
        </w:tc>
      </w:tr>
    </w:tbl>
    <w:p w:rsidR="00D30E26" w:rsidRDefault="000444A9">
      <w:pPr>
        <w:pStyle w:val="a3"/>
        <w:spacing w:before="315"/>
        <w:ind w:right="706" w:firstLine="705"/>
      </w:pPr>
      <w:r>
        <w:t>Üniversitenin gelişiminin dinamikleri istikrar ile karakterize edilir, çünkü gelir ve gider göstergeleri planlanırken riskler dikkate alınır (öğrencilerin bursla kabul edilmesi, nüfusun ödeme gücü düşük olduğunda ücretli eğitim sırasında gelir elde edilmesi, indirim sağlanması) eğitim konusunda, öğrenci kantinindeki yemek maliyetlerinin azaltılması, öğrencilere ücretsiz konaklama sağlanması vb.), bazı büyük ölçekli etkinliklerin acilen yapılması, temel ekipman satın alma ihtiyacı</w:t>
      </w:r>
      <w:r>
        <w:rPr>
          <w:spacing w:val="80"/>
        </w:rPr>
        <w:t xml:space="preserve"> </w:t>
      </w:r>
      <w:r>
        <w:t>ve benzeri. Üniversite bütçesinde, gelir departmanının planlanan gelir miktarında azalmaya yol açan olumsuz göstergeler olduğunda, alternatif geliştirme yolları da dikkate alınır: malların satın alınması ve tüketiminde katı tasarruflar, kullanım maliyetleri, optimizasyon. Mevcut fırsatların en iyi şekilde kullanılması için personel sayısının ve diğer önlemlerin belirlenmesi</w:t>
      </w:r>
      <w:r>
        <w:rPr>
          <w:spacing w:val="40"/>
        </w:rPr>
        <w:t xml:space="preserve"> </w:t>
      </w:r>
      <w:r>
        <w:t>yürütülmektedir.</w:t>
      </w:r>
    </w:p>
    <w:sectPr w:rsidR="00D30E26">
      <w:pgSz w:w="11930" w:h="16860"/>
      <w:pgMar w:top="1020" w:right="1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1AF"/>
    <w:multiLevelType w:val="hybridMultilevel"/>
    <w:tmpl w:val="DCDC953A"/>
    <w:lvl w:ilvl="0" w:tplc="78EC95BE">
      <w:start w:val="1"/>
      <w:numFmt w:val="decimal"/>
      <w:lvlText w:val="%1)"/>
      <w:lvlJc w:val="left"/>
      <w:pPr>
        <w:ind w:left="1285"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CC010DE">
      <w:numFmt w:val="bullet"/>
      <w:lvlText w:val="•"/>
      <w:lvlJc w:val="left"/>
      <w:pPr>
        <w:ind w:left="2184" w:hanging="360"/>
      </w:pPr>
      <w:rPr>
        <w:rFonts w:hint="default"/>
        <w:lang w:val="kk-KZ" w:eastAsia="en-US" w:bidi="ar-SA"/>
      </w:rPr>
    </w:lvl>
    <w:lvl w:ilvl="2" w:tplc="5C802B9C">
      <w:numFmt w:val="bullet"/>
      <w:lvlText w:val="•"/>
      <w:lvlJc w:val="left"/>
      <w:pPr>
        <w:ind w:left="3088" w:hanging="360"/>
      </w:pPr>
      <w:rPr>
        <w:rFonts w:hint="default"/>
        <w:lang w:val="kk-KZ" w:eastAsia="en-US" w:bidi="ar-SA"/>
      </w:rPr>
    </w:lvl>
    <w:lvl w:ilvl="3" w:tplc="50F2C418">
      <w:numFmt w:val="bullet"/>
      <w:lvlText w:val="•"/>
      <w:lvlJc w:val="left"/>
      <w:pPr>
        <w:ind w:left="3992" w:hanging="360"/>
      </w:pPr>
      <w:rPr>
        <w:rFonts w:hint="default"/>
        <w:lang w:val="kk-KZ" w:eastAsia="en-US" w:bidi="ar-SA"/>
      </w:rPr>
    </w:lvl>
    <w:lvl w:ilvl="4" w:tplc="6622A5AE">
      <w:numFmt w:val="bullet"/>
      <w:lvlText w:val="•"/>
      <w:lvlJc w:val="left"/>
      <w:pPr>
        <w:ind w:left="4896" w:hanging="360"/>
      </w:pPr>
      <w:rPr>
        <w:rFonts w:hint="default"/>
        <w:lang w:val="kk-KZ" w:eastAsia="en-US" w:bidi="ar-SA"/>
      </w:rPr>
    </w:lvl>
    <w:lvl w:ilvl="5" w:tplc="7C868FE0">
      <w:numFmt w:val="bullet"/>
      <w:lvlText w:val="•"/>
      <w:lvlJc w:val="left"/>
      <w:pPr>
        <w:ind w:left="5800" w:hanging="360"/>
      </w:pPr>
      <w:rPr>
        <w:rFonts w:hint="default"/>
        <w:lang w:val="kk-KZ" w:eastAsia="en-US" w:bidi="ar-SA"/>
      </w:rPr>
    </w:lvl>
    <w:lvl w:ilvl="6" w:tplc="0896B7CE">
      <w:numFmt w:val="bullet"/>
      <w:lvlText w:val="•"/>
      <w:lvlJc w:val="left"/>
      <w:pPr>
        <w:ind w:left="6704" w:hanging="360"/>
      </w:pPr>
      <w:rPr>
        <w:rFonts w:hint="default"/>
        <w:lang w:val="kk-KZ" w:eastAsia="en-US" w:bidi="ar-SA"/>
      </w:rPr>
    </w:lvl>
    <w:lvl w:ilvl="7" w:tplc="0F405542">
      <w:numFmt w:val="bullet"/>
      <w:lvlText w:val="•"/>
      <w:lvlJc w:val="left"/>
      <w:pPr>
        <w:ind w:left="7608" w:hanging="360"/>
      </w:pPr>
      <w:rPr>
        <w:rFonts w:hint="default"/>
        <w:lang w:val="kk-KZ" w:eastAsia="en-US" w:bidi="ar-SA"/>
      </w:rPr>
    </w:lvl>
    <w:lvl w:ilvl="8" w:tplc="608EB918">
      <w:numFmt w:val="bullet"/>
      <w:lvlText w:val="•"/>
      <w:lvlJc w:val="left"/>
      <w:pPr>
        <w:ind w:left="8512" w:hanging="360"/>
      </w:pPr>
      <w:rPr>
        <w:rFonts w:hint="default"/>
        <w:lang w:val="kk-KZ" w:eastAsia="en-US" w:bidi="ar-SA"/>
      </w:rPr>
    </w:lvl>
  </w:abstractNum>
  <w:abstractNum w:abstractNumId="1" w15:restartNumberingAfterBreak="0">
    <w:nsid w:val="3DED6CB1"/>
    <w:multiLevelType w:val="hybridMultilevel"/>
    <w:tmpl w:val="0E18F24C"/>
    <w:lvl w:ilvl="0" w:tplc="E65ACB06">
      <w:start w:val="1"/>
      <w:numFmt w:val="decimal"/>
      <w:lvlText w:val="%1."/>
      <w:lvlJc w:val="left"/>
      <w:pPr>
        <w:ind w:left="219" w:hanging="296"/>
        <w:jc w:val="left"/>
      </w:pPr>
      <w:rPr>
        <w:rFonts w:ascii="Times New Roman" w:eastAsia="Times New Roman" w:hAnsi="Times New Roman" w:cs="Times New Roman" w:hint="default"/>
        <w:b w:val="0"/>
        <w:bCs w:val="0"/>
        <w:i w:val="0"/>
        <w:iCs w:val="0"/>
        <w:spacing w:val="0"/>
        <w:w w:val="90"/>
        <w:sz w:val="28"/>
        <w:szCs w:val="28"/>
        <w:lang w:val="kk-KZ" w:eastAsia="en-US" w:bidi="ar-SA"/>
      </w:rPr>
    </w:lvl>
    <w:lvl w:ilvl="1" w:tplc="4B66E8CA">
      <w:numFmt w:val="bullet"/>
      <w:lvlText w:val="•"/>
      <w:lvlJc w:val="left"/>
      <w:pPr>
        <w:ind w:left="1230" w:hanging="296"/>
      </w:pPr>
      <w:rPr>
        <w:rFonts w:hint="default"/>
        <w:lang w:val="kk-KZ" w:eastAsia="en-US" w:bidi="ar-SA"/>
      </w:rPr>
    </w:lvl>
    <w:lvl w:ilvl="2" w:tplc="54DAC236">
      <w:numFmt w:val="bullet"/>
      <w:lvlText w:val="•"/>
      <w:lvlJc w:val="left"/>
      <w:pPr>
        <w:ind w:left="2240" w:hanging="296"/>
      </w:pPr>
      <w:rPr>
        <w:rFonts w:hint="default"/>
        <w:lang w:val="kk-KZ" w:eastAsia="en-US" w:bidi="ar-SA"/>
      </w:rPr>
    </w:lvl>
    <w:lvl w:ilvl="3" w:tplc="4874F64A">
      <w:numFmt w:val="bullet"/>
      <w:lvlText w:val="•"/>
      <w:lvlJc w:val="left"/>
      <w:pPr>
        <w:ind w:left="3250" w:hanging="296"/>
      </w:pPr>
      <w:rPr>
        <w:rFonts w:hint="default"/>
        <w:lang w:val="kk-KZ" w:eastAsia="en-US" w:bidi="ar-SA"/>
      </w:rPr>
    </w:lvl>
    <w:lvl w:ilvl="4" w:tplc="10562E2E">
      <w:numFmt w:val="bullet"/>
      <w:lvlText w:val="•"/>
      <w:lvlJc w:val="left"/>
      <w:pPr>
        <w:ind w:left="4260" w:hanging="296"/>
      </w:pPr>
      <w:rPr>
        <w:rFonts w:hint="default"/>
        <w:lang w:val="kk-KZ" w:eastAsia="en-US" w:bidi="ar-SA"/>
      </w:rPr>
    </w:lvl>
    <w:lvl w:ilvl="5" w:tplc="EBDC1404">
      <w:numFmt w:val="bullet"/>
      <w:lvlText w:val="•"/>
      <w:lvlJc w:val="left"/>
      <w:pPr>
        <w:ind w:left="5270" w:hanging="296"/>
      </w:pPr>
      <w:rPr>
        <w:rFonts w:hint="default"/>
        <w:lang w:val="kk-KZ" w:eastAsia="en-US" w:bidi="ar-SA"/>
      </w:rPr>
    </w:lvl>
    <w:lvl w:ilvl="6" w:tplc="2AFA3124">
      <w:numFmt w:val="bullet"/>
      <w:lvlText w:val="•"/>
      <w:lvlJc w:val="left"/>
      <w:pPr>
        <w:ind w:left="6280" w:hanging="296"/>
      </w:pPr>
      <w:rPr>
        <w:rFonts w:hint="default"/>
        <w:lang w:val="kk-KZ" w:eastAsia="en-US" w:bidi="ar-SA"/>
      </w:rPr>
    </w:lvl>
    <w:lvl w:ilvl="7" w:tplc="82347D6E">
      <w:numFmt w:val="bullet"/>
      <w:lvlText w:val="•"/>
      <w:lvlJc w:val="left"/>
      <w:pPr>
        <w:ind w:left="7290" w:hanging="296"/>
      </w:pPr>
      <w:rPr>
        <w:rFonts w:hint="default"/>
        <w:lang w:val="kk-KZ" w:eastAsia="en-US" w:bidi="ar-SA"/>
      </w:rPr>
    </w:lvl>
    <w:lvl w:ilvl="8" w:tplc="80EE8D38">
      <w:numFmt w:val="bullet"/>
      <w:lvlText w:val="•"/>
      <w:lvlJc w:val="left"/>
      <w:pPr>
        <w:ind w:left="8300" w:hanging="296"/>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30E26"/>
    <w:rsid w:val="000444A9"/>
    <w:rsid w:val="002F62FF"/>
    <w:rsid w:val="00D30E26"/>
    <w:rsid w:val="00FD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9201"/>
  <w15:docId w15:val="{F2A8B41A-FF65-402A-B88A-5754F319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right="500"/>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jc w:val="both"/>
    </w:pPr>
    <w:rPr>
      <w:sz w:val="28"/>
      <w:szCs w:val="28"/>
    </w:rPr>
  </w:style>
  <w:style w:type="paragraph" w:styleId="a4">
    <w:name w:val="List Paragraph"/>
    <w:basedOn w:val="a"/>
    <w:uiPriority w:val="1"/>
    <w:qFormat/>
    <w:pPr>
      <w:ind w:left="219"/>
      <w:jc w:val="both"/>
    </w:pPr>
  </w:style>
  <w:style w:type="paragraph" w:customStyle="1" w:styleId="TableParagraph">
    <w:name w:val="Table Paragraph"/>
    <w:basedOn w:val="a"/>
    <w:uiPriority w:val="1"/>
    <w:qFormat/>
    <w:pPr>
      <w:spacing w:line="300" w:lineRule="exact"/>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86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1698</Words>
  <Characters>9685</Characters>
  <Application>Microsoft Office Word</Application>
  <DocSecurity>0</DocSecurity>
  <Lines>80</Lines>
  <Paragraphs>22</Paragraphs>
  <ScaleCrop>false</ScaleCrop>
  <Company>SPecialiST RePack</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2024-05-27T05:16:00Z</dcterms:created>
  <dcterms:modified xsi:type="dcterms:W3CDTF">2025-10-15T07:13:00Z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www.ilovepdf.com</vt:lpwstr>
  </property>
</Properties>
</file>