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6A" w:rsidRDefault="00C84A3F">
      <w:pPr>
        <w:pStyle w:val="1"/>
        <w:spacing w:before="73"/>
        <w:ind w:left="6"/>
      </w:pPr>
      <w:bookmarkStart w:id="0" w:name="Қаржы_департаменті"/>
      <w:bookmarkEnd w:id="0"/>
      <w:r>
        <w:t>Finance</w:t>
      </w:r>
      <w:r>
        <w:rPr>
          <w:spacing w:val="-15"/>
        </w:rPr>
        <w:t xml:space="preserve"> </w:t>
      </w:r>
      <w:r>
        <w:rPr>
          <w:spacing w:val="-2"/>
        </w:rPr>
        <w:t>department</w:t>
      </w:r>
    </w:p>
    <w:p w:rsidR="0037496A" w:rsidRDefault="0037496A">
      <w:pPr>
        <w:pStyle w:val="a3"/>
        <w:spacing w:before="5"/>
        <w:ind w:left="0"/>
        <w:jc w:val="left"/>
        <w:rPr>
          <w:b/>
        </w:rPr>
      </w:pPr>
    </w:p>
    <w:p w:rsidR="0037496A" w:rsidRDefault="00C84A3F">
      <w:pPr>
        <w:pStyle w:val="a3"/>
        <w:ind w:right="718" w:firstLine="705"/>
      </w:pPr>
      <w:r>
        <w:t>Higher and post-higher educational institutions implemented from the republican budget during the planning of income for the maintenance of the university</w:t>
      </w:r>
      <w:r>
        <w:rPr>
          <w:spacing w:val="-1"/>
        </w:rPr>
        <w:t xml:space="preserve"> </w:t>
      </w:r>
      <w:r>
        <w:t>knowledge</w:t>
      </w:r>
      <w:r>
        <w:rPr>
          <w:spacing w:val="-1"/>
        </w:rPr>
        <w:t xml:space="preserve"> </w:t>
      </w:r>
      <w:r>
        <w:t>all specialists</w:t>
      </w:r>
      <w:r>
        <w:rPr>
          <w:spacing w:val="-1"/>
        </w:rPr>
        <w:t xml:space="preserve"> </w:t>
      </w:r>
      <w:r>
        <w:t>for preparation</w:t>
      </w:r>
      <w:r>
        <w:rPr>
          <w:spacing w:val="-1"/>
        </w:rPr>
        <w:t xml:space="preserve"> </w:t>
      </w:r>
      <w:r>
        <w:t>state</w:t>
      </w:r>
      <w:r>
        <w:rPr>
          <w:spacing w:val="-1"/>
        </w:rPr>
        <w:t xml:space="preserve"> </w:t>
      </w:r>
      <w:r>
        <w:t>Funding amounts for the fulfillment of an educational order are taken into account:</w:t>
      </w:r>
    </w:p>
    <w:p w:rsidR="0037496A" w:rsidRDefault="00C84A3F">
      <w:pPr>
        <w:pStyle w:val="a4"/>
        <w:numPr>
          <w:ilvl w:val="0"/>
          <w:numId w:val="2"/>
        </w:numPr>
        <w:tabs>
          <w:tab w:val="left" w:pos="1283"/>
        </w:tabs>
        <w:spacing w:before="6"/>
        <w:ind w:left="1283" w:hanging="358"/>
        <w:rPr>
          <w:sz w:val="28"/>
        </w:rPr>
      </w:pPr>
      <w:r>
        <w:rPr>
          <w:sz w:val="28"/>
        </w:rPr>
        <w:t>Science</w:t>
      </w:r>
      <w:r>
        <w:rPr>
          <w:spacing w:val="-5"/>
          <w:sz w:val="28"/>
        </w:rPr>
        <w:t xml:space="preserve"> </w:t>
      </w:r>
      <w:r>
        <w:rPr>
          <w:sz w:val="28"/>
        </w:rPr>
        <w:t>and</w:t>
      </w:r>
      <w:r>
        <w:rPr>
          <w:spacing w:val="-4"/>
          <w:sz w:val="28"/>
        </w:rPr>
        <w:t xml:space="preserve"> </w:t>
      </w:r>
      <w:r>
        <w:rPr>
          <w:sz w:val="28"/>
        </w:rPr>
        <w:t>up</w:t>
      </w:r>
      <w:r>
        <w:rPr>
          <w:spacing w:val="-5"/>
          <w:sz w:val="28"/>
        </w:rPr>
        <w:t xml:space="preserve"> </w:t>
      </w:r>
      <w:r>
        <w:rPr>
          <w:sz w:val="28"/>
        </w:rPr>
        <w:t>education</w:t>
      </w:r>
      <w:r>
        <w:rPr>
          <w:spacing w:val="-4"/>
          <w:sz w:val="28"/>
        </w:rPr>
        <w:t xml:space="preserve"> </w:t>
      </w:r>
      <w:r>
        <w:rPr>
          <w:spacing w:val="-2"/>
          <w:sz w:val="28"/>
        </w:rPr>
        <w:t>ministry;</w:t>
      </w:r>
    </w:p>
    <w:p w:rsidR="0037496A" w:rsidRDefault="00C84A3F">
      <w:pPr>
        <w:pStyle w:val="a4"/>
        <w:numPr>
          <w:ilvl w:val="0"/>
          <w:numId w:val="2"/>
        </w:numPr>
        <w:tabs>
          <w:tab w:val="left" w:pos="1283"/>
        </w:tabs>
        <w:spacing w:before="4"/>
        <w:ind w:left="1283" w:hanging="358"/>
        <w:rPr>
          <w:sz w:val="28"/>
        </w:rPr>
      </w:pPr>
      <w:r>
        <w:rPr>
          <w:sz w:val="28"/>
        </w:rPr>
        <w:t>Health</w:t>
      </w:r>
      <w:r>
        <w:rPr>
          <w:spacing w:val="-5"/>
          <w:sz w:val="28"/>
        </w:rPr>
        <w:t xml:space="preserve"> </w:t>
      </w:r>
      <w:r>
        <w:rPr>
          <w:sz w:val="28"/>
        </w:rPr>
        <w:t>save</w:t>
      </w:r>
      <w:r>
        <w:rPr>
          <w:spacing w:val="-8"/>
          <w:sz w:val="28"/>
        </w:rPr>
        <w:t xml:space="preserve"> </w:t>
      </w:r>
      <w:r>
        <w:rPr>
          <w:spacing w:val="-2"/>
          <w:sz w:val="28"/>
        </w:rPr>
        <w:t>ministry;</w:t>
      </w:r>
    </w:p>
    <w:p w:rsidR="0037496A" w:rsidRDefault="00C84A3F">
      <w:pPr>
        <w:pStyle w:val="a4"/>
        <w:numPr>
          <w:ilvl w:val="0"/>
          <w:numId w:val="2"/>
        </w:numPr>
        <w:tabs>
          <w:tab w:val="left" w:pos="1283"/>
        </w:tabs>
        <w:spacing w:before="2"/>
        <w:ind w:left="1283" w:hanging="358"/>
        <w:rPr>
          <w:sz w:val="28"/>
        </w:rPr>
      </w:pPr>
      <w:r>
        <w:rPr>
          <w:sz w:val="28"/>
        </w:rPr>
        <w:t>Turkestan</w:t>
      </w:r>
      <w:r>
        <w:rPr>
          <w:spacing w:val="-7"/>
          <w:sz w:val="28"/>
        </w:rPr>
        <w:t xml:space="preserve"> </w:t>
      </w:r>
      <w:r>
        <w:rPr>
          <w:sz w:val="28"/>
        </w:rPr>
        <w:t>of the region</w:t>
      </w:r>
      <w:r>
        <w:rPr>
          <w:spacing w:val="-10"/>
          <w:sz w:val="28"/>
        </w:rPr>
        <w:t xml:space="preserve"> </w:t>
      </w:r>
      <w:r>
        <w:rPr>
          <w:sz w:val="28"/>
        </w:rPr>
        <w:t>education</w:t>
      </w:r>
      <w:r>
        <w:rPr>
          <w:spacing w:val="-6"/>
          <w:sz w:val="28"/>
        </w:rPr>
        <w:t xml:space="preserve"> </w:t>
      </w:r>
      <w:r>
        <w:rPr>
          <w:spacing w:val="-2"/>
          <w:sz w:val="28"/>
        </w:rPr>
        <w:t>administration.</w:t>
      </w:r>
    </w:p>
    <w:p w:rsidR="0037496A" w:rsidRDefault="00C84A3F">
      <w:pPr>
        <w:pStyle w:val="a3"/>
        <w:spacing w:before="5"/>
        <w:ind w:right="712" w:firstLine="705"/>
      </w:pPr>
      <w:r>
        <w:t>The cost of the state educational task for training specialists with higher education in educational organizations is approved annually by the relevant resolution of the Government of the Republic of Kazakhstan. The amount of revenues from the republican budget directly depends on the contingent of students studying under the grant.</w:t>
      </w:r>
    </w:p>
    <w:p w:rsidR="0037496A" w:rsidRDefault="00C84A3F">
      <w:pPr>
        <w:pStyle w:val="a3"/>
        <w:spacing w:before="5"/>
        <w:ind w:right="709" w:firstLine="705"/>
      </w:pPr>
      <w:r>
        <w:t>The next source of revenue, equal to the amount of budget funds of the Republic of Kazakhstan, is funding from the Republic of Turkey (Note: the university is maintained on a balanced basis). Financing</w:t>
      </w:r>
      <w:r>
        <w:rPr>
          <w:spacing w:val="-2"/>
        </w:rPr>
        <w:t xml:space="preserve"> </w:t>
      </w:r>
      <w:r>
        <w:t>to the third eye</w:t>
      </w:r>
      <w:r>
        <w:rPr>
          <w:spacing w:val="-1"/>
        </w:rPr>
        <w:t xml:space="preserve"> </w:t>
      </w:r>
      <w:r>
        <w:t>students on a paid basis</w:t>
      </w:r>
      <w:r>
        <w:rPr>
          <w:spacing w:val="-1"/>
        </w:rPr>
        <w:t xml:space="preserve"> </w:t>
      </w:r>
      <w:r>
        <w:t>includes cash receipts for training. Other sources of financing include revenue (grant) from the Ministry of Science and Higher Education of the Republic of Kazakhstan and the budget of the Republic of Turkey for the financing of scientific research services. For the stability of the sources of financing, it is necessary to increase the number of students, masters, doctoral students, because the stability of the sources of financing is necessary to admit students to the university every year,</w:t>
      </w:r>
      <w:r>
        <w:rPr>
          <w:spacing w:val="80"/>
        </w:rPr>
        <w:t xml:space="preserve"> </w:t>
      </w:r>
      <w:proofErr w:type="gramStart"/>
      <w:r>
        <w:t>It</w:t>
      </w:r>
      <w:proofErr w:type="gramEnd"/>
      <w:r>
        <w:t xml:space="preserve"> is directly related to the participation of our scientists in the tender for the grant, and receiving the Order for the execution of the scientific research contractual works. The following table provides information on the university's income for the last 5 (five) years:</w:t>
      </w:r>
    </w:p>
    <w:p w:rsidR="0037496A" w:rsidRDefault="00C84A3F">
      <w:pPr>
        <w:pStyle w:val="1"/>
        <w:spacing w:before="213"/>
        <w:ind w:left="12"/>
      </w:pPr>
      <w:bookmarkStart w:id="1" w:name="Кесте_1._Деректер_мың_теңгемен"/>
      <w:bookmarkEnd w:id="1"/>
      <w:r>
        <w:t>Table</w:t>
      </w:r>
      <w:r>
        <w:rPr>
          <w:spacing w:val="-16"/>
        </w:rPr>
        <w:t xml:space="preserve"> </w:t>
      </w:r>
      <w:r>
        <w:t>1.</w:t>
      </w:r>
      <w:r>
        <w:rPr>
          <w:spacing w:val="-12"/>
        </w:rPr>
        <w:t xml:space="preserve"> </w:t>
      </w:r>
      <w:r>
        <w:t>Data</w:t>
      </w:r>
      <w:r>
        <w:rPr>
          <w:spacing w:val="-16"/>
        </w:rPr>
        <w:t xml:space="preserve"> </w:t>
      </w:r>
      <w:r>
        <w:t>thousand</w:t>
      </w:r>
      <w:r>
        <w:rPr>
          <w:spacing w:val="-16"/>
        </w:rPr>
        <w:t xml:space="preserve"> </w:t>
      </w:r>
      <w:r>
        <w:rPr>
          <w:spacing w:val="-2"/>
        </w:rPr>
        <w:t xml:space="preserve">in </w:t>
      </w:r>
      <w:proofErr w:type="spellStart"/>
      <w:r>
        <w:rPr>
          <w:spacing w:val="-2"/>
        </w:rPr>
        <w:t>tenge</w:t>
      </w:r>
      <w:proofErr w:type="spellEnd"/>
    </w:p>
    <w:p w:rsidR="0037496A" w:rsidRDefault="0037496A">
      <w:pPr>
        <w:pStyle w:val="a3"/>
        <w:spacing w:before="1" w:after="1"/>
        <w:ind w:left="0"/>
        <w:jc w:val="left"/>
        <w:rPr>
          <w:b/>
          <w:sz w:val="1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1594"/>
        <w:gridCol w:w="1594"/>
        <w:gridCol w:w="1599"/>
        <w:gridCol w:w="1596"/>
        <w:gridCol w:w="1772"/>
      </w:tblGrid>
      <w:tr w:rsidR="0037496A">
        <w:trPr>
          <w:trHeight w:val="321"/>
        </w:trPr>
        <w:tc>
          <w:tcPr>
            <w:tcW w:w="1603" w:type="dxa"/>
          </w:tcPr>
          <w:p w:rsidR="0037496A" w:rsidRDefault="0037496A">
            <w:pPr>
              <w:pStyle w:val="TableParagraph"/>
              <w:spacing w:line="240" w:lineRule="auto"/>
              <w:ind w:left="0"/>
              <w:rPr>
                <w:sz w:val="24"/>
              </w:rPr>
            </w:pPr>
          </w:p>
        </w:tc>
        <w:tc>
          <w:tcPr>
            <w:tcW w:w="8155" w:type="dxa"/>
            <w:gridSpan w:val="5"/>
          </w:tcPr>
          <w:p w:rsidR="0037496A" w:rsidRDefault="00C84A3F">
            <w:pPr>
              <w:pStyle w:val="TableParagraph"/>
              <w:spacing w:line="302" w:lineRule="exact"/>
              <w:ind w:left="29"/>
              <w:jc w:val="center"/>
              <w:rPr>
                <w:b/>
                <w:sz w:val="28"/>
              </w:rPr>
            </w:pPr>
            <w:r>
              <w:rPr>
                <w:b/>
                <w:spacing w:val="-2"/>
                <w:sz w:val="28"/>
              </w:rPr>
              <w:t>Years</w:t>
            </w:r>
          </w:p>
        </w:tc>
      </w:tr>
      <w:tr w:rsidR="0037496A">
        <w:trPr>
          <w:trHeight w:val="321"/>
        </w:trPr>
        <w:tc>
          <w:tcPr>
            <w:tcW w:w="1603" w:type="dxa"/>
            <w:vMerge w:val="restart"/>
          </w:tcPr>
          <w:p w:rsidR="0037496A" w:rsidRDefault="00C84A3F">
            <w:pPr>
              <w:pStyle w:val="TableParagraph"/>
              <w:spacing w:line="317" w:lineRule="exact"/>
              <w:ind w:left="119"/>
              <w:rPr>
                <w:b/>
                <w:sz w:val="28"/>
              </w:rPr>
            </w:pPr>
            <w:r>
              <w:rPr>
                <w:b/>
                <w:spacing w:val="-2"/>
                <w:sz w:val="28"/>
              </w:rPr>
              <w:t>Incomes</w:t>
            </w:r>
          </w:p>
        </w:tc>
        <w:tc>
          <w:tcPr>
            <w:tcW w:w="1594" w:type="dxa"/>
          </w:tcPr>
          <w:p w:rsidR="0037496A" w:rsidRDefault="00C84A3F">
            <w:pPr>
              <w:pStyle w:val="TableParagraph"/>
              <w:spacing w:line="301" w:lineRule="exact"/>
              <w:ind w:left="530"/>
              <w:rPr>
                <w:b/>
                <w:sz w:val="28"/>
              </w:rPr>
            </w:pPr>
            <w:r>
              <w:rPr>
                <w:b/>
                <w:spacing w:val="-4"/>
                <w:sz w:val="28"/>
              </w:rPr>
              <w:t>2020</w:t>
            </w:r>
          </w:p>
        </w:tc>
        <w:tc>
          <w:tcPr>
            <w:tcW w:w="1594" w:type="dxa"/>
          </w:tcPr>
          <w:p w:rsidR="0037496A" w:rsidRDefault="00C84A3F">
            <w:pPr>
              <w:pStyle w:val="TableParagraph"/>
              <w:spacing w:line="301" w:lineRule="exact"/>
              <w:ind w:left="32" w:right="13"/>
              <w:jc w:val="center"/>
              <w:rPr>
                <w:b/>
                <w:sz w:val="28"/>
              </w:rPr>
            </w:pPr>
            <w:r>
              <w:rPr>
                <w:b/>
                <w:spacing w:val="-4"/>
                <w:sz w:val="28"/>
              </w:rPr>
              <w:t>2021</w:t>
            </w:r>
          </w:p>
        </w:tc>
        <w:tc>
          <w:tcPr>
            <w:tcW w:w="1599" w:type="dxa"/>
          </w:tcPr>
          <w:p w:rsidR="0037496A" w:rsidRDefault="00C84A3F">
            <w:pPr>
              <w:pStyle w:val="TableParagraph"/>
              <w:spacing w:line="301" w:lineRule="exact"/>
              <w:ind w:left="39" w:right="6"/>
              <w:jc w:val="center"/>
              <w:rPr>
                <w:b/>
                <w:sz w:val="28"/>
              </w:rPr>
            </w:pPr>
            <w:r>
              <w:rPr>
                <w:b/>
                <w:spacing w:val="-4"/>
                <w:sz w:val="28"/>
              </w:rPr>
              <w:t>2022</w:t>
            </w:r>
          </w:p>
        </w:tc>
        <w:tc>
          <w:tcPr>
            <w:tcW w:w="1596" w:type="dxa"/>
          </w:tcPr>
          <w:p w:rsidR="0037496A" w:rsidRDefault="00C84A3F">
            <w:pPr>
              <w:pStyle w:val="TableParagraph"/>
              <w:spacing w:line="301" w:lineRule="exact"/>
              <w:ind w:left="22"/>
              <w:jc w:val="center"/>
              <w:rPr>
                <w:b/>
                <w:sz w:val="28"/>
              </w:rPr>
            </w:pPr>
            <w:r>
              <w:rPr>
                <w:b/>
                <w:spacing w:val="-4"/>
                <w:sz w:val="28"/>
              </w:rPr>
              <w:t>2023</w:t>
            </w:r>
          </w:p>
        </w:tc>
        <w:tc>
          <w:tcPr>
            <w:tcW w:w="1772" w:type="dxa"/>
          </w:tcPr>
          <w:p w:rsidR="0037496A" w:rsidRDefault="00C84A3F">
            <w:pPr>
              <w:pStyle w:val="TableParagraph"/>
              <w:spacing w:line="301" w:lineRule="exact"/>
              <w:ind w:left="70" w:right="53"/>
              <w:jc w:val="center"/>
              <w:rPr>
                <w:b/>
                <w:sz w:val="28"/>
              </w:rPr>
            </w:pPr>
            <w:r>
              <w:rPr>
                <w:b/>
                <w:spacing w:val="-4"/>
                <w:sz w:val="28"/>
              </w:rPr>
              <w:t>2024</w:t>
            </w:r>
          </w:p>
        </w:tc>
      </w:tr>
      <w:tr w:rsidR="00C84A3F" w:rsidTr="008B707D">
        <w:trPr>
          <w:trHeight w:val="741"/>
        </w:trPr>
        <w:tc>
          <w:tcPr>
            <w:tcW w:w="1603" w:type="dxa"/>
            <w:vMerge/>
            <w:tcBorders>
              <w:top w:val="nil"/>
            </w:tcBorders>
          </w:tcPr>
          <w:p w:rsidR="00C84A3F" w:rsidRDefault="00C84A3F" w:rsidP="00C84A3F">
            <w:pPr>
              <w:rPr>
                <w:sz w:val="2"/>
                <w:szCs w:val="2"/>
              </w:rPr>
            </w:pPr>
          </w:p>
        </w:tc>
        <w:tc>
          <w:tcPr>
            <w:tcW w:w="1594" w:type="dxa"/>
            <w:tcBorders>
              <w:top w:val="single" w:sz="4" w:space="0" w:color="000000"/>
              <w:left w:val="single" w:sz="4" w:space="0" w:color="000000"/>
              <w:bottom w:val="single" w:sz="4" w:space="0" w:color="000000"/>
              <w:right w:val="single" w:sz="4" w:space="0" w:color="000000"/>
            </w:tcBorders>
          </w:tcPr>
          <w:p w:rsidR="00C84A3F" w:rsidRDefault="00C84A3F" w:rsidP="00C84A3F">
            <w:pPr>
              <w:pStyle w:val="TableParagraph"/>
              <w:spacing w:line="310" w:lineRule="exact"/>
              <w:ind w:left="19" w:right="32"/>
              <w:jc w:val="center"/>
              <w:rPr>
                <w:sz w:val="28"/>
                <w:lang w:val="ru-RU"/>
              </w:rPr>
            </w:pPr>
            <w:r>
              <w:rPr>
                <w:sz w:val="28"/>
                <w:lang w:val="ru-RU"/>
              </w:rPr>
              <w:t>8</w:t>
            </w:r>
            <w:r>
              <w:rPr>
                <w:spacing w:val="-4"/>
                <w:sz w:val="28"/>
                <w:lang w:val="ru-RU"/>
              </w:rPr>
              <w:t xml:space="preserve"> </w:t>
            </w:r>
            <w:r>
              <w:rPr>
                <w:sz w:val="28"/>
                <w:lang w:val="ru-RU"/>
              </w:rPr>
              <w:t>957</w:t>
            </w:r>
            <w:r>
              <w:rPr>
                <w:spacing w:val="-4"/>
                <w:sz w:val="28"/>
                <w:lang w:val="ru-RU"/>
              </w:rPr>
              <w:t xml:space="preserve"> </w:t>
            </w:r>
            <w:r>
              <w:rPr>
                <w:spacing w:val="-2"/>
                <w:sz w:val="28"/>
                <w:lang w:val="ru-RU"/>
              </w:rPr>
              <w:t>194,4</w:t>
            </w:r>
          </w:p>
        </w:tc>
        <w:tc>
          <w:tcPr>
            <w:tcW w:w="1594" w:type="dxa"/>
            <w:tcBorders>
              <w:top w:val="single" w:sz="4" w:space="0" w:color="000000"/>
              <w:left w:val="single" w:sz="4" w:space="0" w:color="000000"/>
              <w:bottom w:val="single" w:sz="4" w:space="0" w:color="000000"/>
              <w:right w:val="single" w:sz="4" w:space="0" w:color="000000"/>
            </w:tcBorders>
          </w:tcPr>
          <w:p w:rsidR="00C84A3F" w:rsidRDefault="00C84A3F" w:rsidP="00C84A3F">
            <w:pPr>
              <w:pStyle w:val="TableParagraph"/>
              <w:spacing w:line="310" w:lineRule="exact"/>
              <w:ind w:left="33" w:right="39"/>
              <w:jc w:val="center"/>
              <w:rPr>
                <w:sz w:val="28"/>
                <w:lang w:val="ru-RU"/>
              </w:rPr>
            </w:pPr>
            <w:r>
              <w:rPr>
                <w:sz w:val="28"/>
                <w:lang w:val="ru-RU"/>
              </w:rPr>
              <w:t>11</w:t>
            </w:r>
            <w:r>
              <w:rPr>
                <w:spacing w:val="-4"/>
                <w:sz w:val="28"/>
                <w:lang w:val="ru-RU"/>
              </w:rPr>
              <w:t xml:space="preserve"> </w:t>
            </w:r>
            <w:r>
              <w:rPr>
                <w:sz w:val="28"/>
                <w:lang w:val="ru-RU"/>
              </w:rPr>
              <w:t xml:space="preserve">233 </w:t>
            </w:r>
            <w:r>
              <w:rPr>
                <w:spacing w:val="-2"/>
                <w:sz w:val="28"/>
                <w:lang w:val="ru-RU"/>
              </w:rPr>
              <w:t>242,3</w:t>
            </w:r>
          </w:p>
        </w:tc>
        <w:tc>
          <w:tcPr>
            <w:tcW w:w="1599" w:type="dxa"/>
            <w:tcBorders>
              <w:top w:val="single" w:sz="4" w:space="0" w:color="000000"/>
              <w:left w:val="single" w:sz="4" w:space="0" w:color="000000"/>
              <w:bottom w:val="single" w:sz="4" w:space="0" w:color="000000"/>
              <w:right w:val="single" w:sz="4" w:space="0" w:color="000000"/>
            </w:tcBorders>
          </w:tcPr>
          <w:p w:rsidR="00C84A3F" w:rsidRDefault="00C84A3F" w:rsidP="00C84A3F">
            <w:pPr>
              <w:pStyle w:val="TableParagraph"/>
              <w:spacing w:line="310" w:lineRule="exact"/>
              <w:ind w:left="22" w:right="70"/>
              <w:jc w:val="center"/>
              <w:rPr>
                <w:sz w:val="28"/>
                <w:lang w:val="ru-RU"/>
              </w:rPr>
            </w:pPr>
            <w:r>
              <w:rPr>
                <w:sz w:val="28"/>
                <w:lang w:val="ru-RU"/>
              </w:rPr>
              <w:t>12</w:t>
            </w:r>
            <w:r>
              <w:rPr>
                <w:spacing w:val="-5"/>
                <w:sz w:val="28"/>
                <w:lang w:val="ru-RU"/>
              </w:rPr>
              <w:t xml:space="preserve"> </w:t>
            </w:r>
            <w:r>
              <w:rPr>
                <w:sz w:val="28"/>
                <w:lang w:val="ru-RU"/>
              </w:rPr>
              <w:t>417</w:t>
            </w:r>
            <w:r>
              <w:rPr>
                <w:spacing w:val="-4"/>
                <w:sz w:val="28"/>
                <w:lang w:val="ru-RU"/>
              </w:rPr>
              <w:t xml:space="preserve"> </w:t>
            </w:r>
            <w:r>
              <w:rPr>
                <w:spacing w:val="-2"/>
                <w:sz w:val="28"/>
                <w:lang w:val="ru-RU"/>
              </w:rPr>
              <w:t>515,4</w:t>
            </w:r>
          </w:p>
        </w:tc>
        <w:tc>
          <w:tcPr>
            <w:tcW w:w="1596" w:type="dxa"/>
            <w:tcBorders>
              <w:top w:val="single" w:sz="4" w:space="0" w:color="000000"/>
              <w:left w:val="single" w:sz="4" w:space="0" w:color="000000"/>
              <w:bottom w:val="single" w:sz="4" w:space="0" w:color="000000"/>
              <w:right w:val="single" w:sz="4" w:space="0" w:color="000000"/>
            </w:tcBorders>
          </w:tcPr>
          <w:p w:rsidR="00C84A3F" w:rsidRDefault="00C84A3F" w:rsidP="00C84A3F">
            <w:pPr>
              <w:pStyle w:val="TableParagraph"/>
              <w:spacing w:line="310" w:lineRule="exact"/>
              <w:ind w:left="17" w:right="70"/>
              <w:jc w:val="center"/>
              <w:rPr>
                <w:sz w:val="28"/>
                <w:lang w:val="ru-RU"/>
              </w:rPr>
            </w:pPr>
            <w:r>
              <w:rPr>
                <w:sz w:val="28"/>
                <w:lang w:val="ru-RU"/>
              </w:rPr>
              <w:t>13</w:t>
            </w:r>
            <w:r>
              <w:rPr>
                <w:spacing w:val="-4"/>
                <w:sz w:val="28"/>
                <w:lang w:val="ru-RU"/>
              </w:rPr>
              <w:t xml:space="preserve"> </w:t>
            </w:r>
            <w:r>
              <w:rPr>
                <w:sz w:val="28"/>
                <w:lang w:val="ru-RU"/>
              </w:rPr>
              <w:t>230</w:t>
            </w:r>
            <w:r>
              <w:rPr>
                <w:spacing w:val="-4"/>
                <w:sz w:val="28"/>
                <w:lang w:val="ru-RU"/>
              </w:rPr>
              <w:t xml:space="preserve"> </w:t>
            </w:r>
            <w:r>
              <w:rPr>
                <w:spacing w:val="-2"/>
                <w:sz w:val="28"/>
                <w:lang w:val="ru-RU"/>
              </w:rPr>
              <w:t>018,6</w:t>
            </w:r>
          </w:p>
        </w:tc>
        <w:tc>
          <w:tcPr>
            <w:tcW w:w="1772" w:type="dxa"/>
            <w:tcBorders>
              <w:top w:val="single" w:sz="4" w:space="0" w:color="000000"/>
              <w:left w:val="single" w:sz="4" w:space="0" w:color="000000"/>
              <w:bottom w:val="single" w:sz="4" w:space="0" w:color="000000"/>
              <w:right w:val="single" w:sz="4" w:space="0" w:color="000000"/>
            </w:tcBorders>
          </w:tcPr>
          <w:p w:rsidR="00C84A3F" w:rsidRDefault="00C84A3F" w:rsidP="00C84A3F">
            <w:pPr>
              <w:pStyle w:val="TableParagraph"/>
              <w:spacing w:line="310" w:lineRule="exact"/>
              <w:ind w:left="17" w:right="70"/>
              <w:jc w:val="center"/>
              <w:rPr>
                <w:sz w:val="28"/>
                <w:lang w:val="kk-KZ"/>
              </w:rPr>
            </w:pPr>
            <w:r>
              <w:rPr>
                <w:sz w:val="28"/>
                <w:lang w:val="ru-RU"/>
              </w:rPr>
              <w:t>13</w:t>
            </w:r>
            <w:r>
              <w:rPr>
                <w:spacing w:val="-4"/>
                <w:sz w:val="28"/>
                <w:lang w:val="ru-RU"/>
              </w:rPr>
              <w:t xml:space="preserve"> </w:t>
            </w:r>
            <w:r>
              <w:rPr>
                <w:sz w:val="28"/>
                <w:lang w:val="kk-KZ"/>
              </w:rPr>
              <w:t>565</w:t>
            </w:r>
            <w:r>
              <w:rPr>
                <w:spacing w:val="-4"/>
                <w:sz w:val="28"/>
                <w:lang w:val="kk-KZ"/>
              </w:rPr>
              <w:t xml:space="preserve"> </w:t>
            </w:r>
            <w:r>
              <w:rPr>
                <w:spacing w:val="-2"/>
                <w:sz w:val="28"/>
                <w:lang w:val="kk-KZ"/>
              </w:rPr>
              <w:t>881,3</w:t>
            </w:r>
          </w:p>
        </w:tc>
      </w:tr>
    </w:tbl>
    <w:p w:rsidR="0037496A" w:rsidRDefault="0037496A">
      <w:pPr>
        <w:pStyle w:val="a3"/>
        <w:spacing w:before="180"/>
        <w:ind w:left="0"/>
        <w:jc w:val="left"/>
        <w:rPr>
          <w:b/>
        </w:rPr>
      </w:pPr>
    </w:p>
    <w:p w:rsidR="0037496A" w:rsidRDefault="00C84A3F">
      <w:pPr>
        <w:pStyle w:val="a3"/>
        <w:ind w:right="739" w:firstLine="705"/>
      </w:pPr>
      <w:r>
        <w:t>As can be seen from the table, the income of the university is characterized by stability.</w:t>
      </w:r>
    </w:p>
    <w:p w:rsidR="0037496A" w:rsidRDefault="00C84A3F">
      <w:pPr>
        <w:pStyle w:val="a3"/>
        <w:spacing w:before="7" w:line="319" w:lineRule="exact"/>
        <w:rPr>
          <w:spacing w:val="-2"/>
        </w:rPr>
      </w:pPr>
      <w:r>
        <w:rPr>
          <w:spacing w:val="-2"/>
        </w:rPr>
        <w:t>University</w:t>
      </w:r>
      <w:r>
        <w:rPr>
          <w:spacing w:val="-13"/>
        </w:rPr>
        <w:t xml:space="preserve"> </w:t>
      </w:r>
      <w:r>
        <w:rPr>
          <w:spacing w:val="-2"/>
        </w:rPr>
        <w:t>expenses</w:t>
      </w:r>
      <w:r>
        <w:rPr>
          <w:spacing w:val="-6"/>
        </w:rPr>
        <w:t xml:space="preserve"> </w:t>
      </w:r>
      <w:r>
        <w:rPr>
          <w:spacing w:val="-2"/>
        </w:rPr>
        <w:t>planning</w:t>
      </w:r>
      <w:r>
        <w:rPr>
          <w:spacing w:val="-15"/>
        </w:rPr>
        <w:t xml:space="preserve"> </w:t>
      </w:r>
      <w:r>
        <w:rPr>
          <w:spacing w:val="-2"/>
        </w:rPr>
        <w:t>period</w:t>
      </w:r>
      <w:r>
        <w:rPr>
          <w:spacing w:val="-7"/>
        </w:rPr>
        <w:t xml:space="preserve"> </w:t>
      </w:r>
      <w:r>
        <w:rPr>
          <w:spacing w:val="-2"/>
        </w:rPr>
        <w:t>with period</w:t>
      </w:r>
      <w:r>
        <w:rPr>
          <w:spacing w:val="-6"/>
        </w:rPr>
        <w:t xml:space="preserve"> </w:t>
      </w:r>
      <w:r>
        <w:rPr>
          <w:spacing w:val="-2"/>
        </w:rPr>
        <w:t>realized</w:t>
      </w:r>
      <w:r>
        <w:rPr>
          <w:spacing w:val="-7"/>
        </w:rPr>
        <w:t xml:space="preserve"> </w:t>
      </w:r>
      <w:r>
        <w:rPr>
          <w:spacing w:val="-2"/>
        </w:rPr>
        <w:t>carried out:</w:t>
      </w:r>
    </w:p>
    <w:p w:rsidR="00980BA9" w:rsidRDefault="00980BA9">
      <w:pPr>
        <w:pStyle w:val="a3"/>
        <w:spacing w:before="7" w:line="319" w:lineRule="exact"/>
      </w:pPr>
    </w:p>
    <w:p w:rsidR="0037496A" w:rsidRPr="00980BA9" w:rsidRDefault="00980BA9" w:rsidP="00980BA9">
      <w:pPr>
        <w:pStyle w:val="a4"/>
        <w:numPr>
          <w:ilvl w:val="0"/>
          <w:numId w:val="1"/>
        </w:numPr>
        <w:ind w:left="142" w:firstLine="142"/>
        <w:rPr>
          <w:sz w:val="28"/>
          <w:lang w:val="en-US"/>
        </w:rPr>
      </w:pPr>
      <w:r w:rsidRPr="00980BA9">
        <w:rPr>
          <w:sz w:val="28"/>
        </w:rPr>
        <w:t>Based on the order of the Ministry of Science and Higher Education of the Republic of Kazakhstan No. 311 dated July 10, 2023, the procedure for normative financing of higher and postgraduate education per capita, taking into account the credit technology of education, is determined.</w:t>
      </w:r>
    </w:p>
    <w:p w:rsidR="00980BA9" w:rsidRDefault="00980BA9">
      <w:pPr>
        <w:jc w:val="both"/>
        <w:rPr>
          <w:sz w:val="28"/>
        </w:rPr>
        <w:sectPr w:rsidR="00980BA9" w:rsidSect="00980BA9">
          <w:type w:val="continuous"/>
          <w:pgSz w:w="11930" w:h="16860"/>
          <w:pgMar w:top="1020" w:right="873" w:bottom="280" w:left="1480" w:header="720" w:footer="720" w:gutter="0"/>
          <w:cols w:space="720"/>
        </w:sectPr>
      </w:pPr>
    </w:p>
    <w:p w:rsidR="0037496A" w:rsidRDefault="00C84A3F">
      <w:pPr>
        <w:pStyle w:val="a4"/>
        <w:numPr>
          <w:ilvl w:val="0"/>
          <w:numId w:val="1"/>
        </w:numPr>
        <w:tabs>
          <w:tab w:val="left" w:pos="541"/>
        </w:tabs>
        <w:spacing w:before="61"/>
        <w:ind w:left="541" w:hanging="322"/>
        <w:rPr>
          <w:sz w:val="28"/>
        </w:rPr>
      </w:pPr>
      <w:r>
        <w:rPr>
          <w:sz w:val="28"/>
        </w:rPr>
        <w:lastRenderedPageBreak/>
        <w:t>In the year</w:t>
      </w:r>
      <w:r>
        <w:rPr>
          <w:spacing w:val="33"/>
          <w:sz w:val="28"/>
        </w:rPr>
        <w:t xml:space="preserve"> </w:t>
      </w:r>
      <w:r>
        <w:rPr>
          <w:sz w:val="28"/>
        </w:rPr>
        <w:t>wages</w:t>
      </w:r>
      <w:r>
        <w:rPr>
          <w:spacing w:val="36"/>
          <w:sz w:val="28"/>
        </w:rPr>
        <w:t xml:space="preserve"> </w:t>
      </w:r>
      <w:r>
        <w:rPr>
          <w:sz w:val="28"/>
        </w:rPr>
        <w:t>fund</w:t>
      </w:r>
      <w:r>
        <w:rPr>
          <w:spacing w:val="36"/>
          <w:sz w:val="28"/>
        </w:rPr>
        <w:t xml:space="preserve"> </w:t>
      </w:r>
      <w:r>
        <w:rPr>
          <w:sz w:val="28"/>
        </w:rPr>
        <w:t>of the university</w:t>
      </w:r>
      <w:r>
        <w:rPr>
          <w:spacing w:val="36"/>
          <w:sz w:val="28"/>
        </w:rPr>
        <w:t xml:space="preserve"> </w:t>
      </w:r>
      <w:r>
        <w:rPr>
          <w:sz w:val="28"/>
        </w:rPr>
        <w:t>Authorized</w:t>
      </w:r>
      <w:r>
        <w:rPr>
          <w:spacing w:val="36"/>
          <w:sz w:val="28"/>
        </w:rPr>
        <w:t xml:space="preserve"> </w:t>
      </w:r>
      <w:r>
        <w:rPr>
          <w:sz w:val="28"/>
        </w:rPr>
        <w:t>Council</w:t>
      </w:r>
      <w:r>
        <w:rPr>
          <w:spacing w:val="35"/>
          <w:sz w:val="28"/>
        </w:rPr>
        <w:t xml:space="preserve"> </w:t>
      </w:r>
      <w:r>
        <w:rPr>
          <w:sz w:val="28"/>
        </w:rPr>
        <w:t>2024</w:t>
      </w:r>
      <w:r>
        <w:rPr>
          <w:spacing w:val="34"/>
          <w:sz w:val="28"/>
        </w:rPr>
        <w:t xml:space="preserve"> </w:t>
      </w:r>
      <w:r>
        <w:rPr>
          <w:spacing w:val="-2"/>
          <w:sz w:val="28"/>
        </w:rPr>
        <w:t>year</w:t>
      </w:r>
    </w:p>
    <w:p w:rsidR="0037496A" w:rsidRDefault="00C84A3F">
      <w:pPr>
        <w:pStyle w:val="a3"/>
        <w:spacing w:before="1"/>
        <w:ind w:right="721"/>
      </w:pPr>
      <w:r>
        <w:t xml:space="preserve">On the basis of the "Salary payment regulations" approved by </w:t>
      </w:r>
      <w:proofErr w:type="spellStart"/>
      <w:r>
        <w:t>Majilis</w:t>
      </w:r>
      <w:proofErr w:type="spellEnd"/>
      <w:r>
        <w:t xml:space="preserve"> No. 76 on February 24 and the decision of the University's Authorized Council</w:t>
      </w:r>
      <w:r>
        <w:rPr>
          <w:spacing w:val="40"/>
        </w:rPr>
        <w:t xml:space="preserve"> </w:t>
      </w:r>
      <w:r>
        <w:t>based on this, the amount of additional social payments to be paid to the teaching staff from the budget of Turkey is determined.</w:t>
      </w:r>
    </w:p>
    <w:p w:rsidR="0037496A" w:rsidRPr="00980BA9" w:rsidRDefault="00C84A3F" w:rsidP="00980BA9">
      <w:pPr>
        <w:pStyle w:val="a4"/>
        <w:numPr>
          <w:ilvl w:val="0"/>
          <w:numId w:val="1"/>
        </w:numPr>
        <w:tabs>
          <w:tab w:val="left" w:pos="613"/>
        </w:tabs>
        <w:spacing w:before="3" w:line="242" w:lineRule="auto"/>
        <w:ind w:right="727" w:firstLine="65"/>
        <w:rPr>
          <w:sz w:val="28"/>
        </w:rPr>
      </w:pPr>
      <w:r w:rsidRPr="00980BA9">
        <w:rPr>
          <w:sz w:val="28"/>
        </w:rPr>
        <w:t>Taxes and other mandatory payments to the budget are planned in accordance with the Tax Code of the Republic of Kazakhstan.</w:t>
      </w:r>
    </w:p>
    <w:p w:rsidR="0037496A" w:rsidRDefault="00C84A3F">
      <w:pPr>
        <w:pStyle w:val="a4"/>
        <w:numPr>
          <w:ilvl w:val="0"/>
          <w:numId w:val="1"/>
        </w:numPr>
        <w:tabs>
          <w:tab w:val="left" w:pos="429"/>
        </w:tabs>
        <w:spacing w:line="242" w:lineRule="auto"/>
        <w:ind w:right="728" w:firstLine="0"/>
        <w:rPr>
          <w:sz w:val="28"/>
        </w:rPr>
      </w:pPr>
      <w:r>
        <w:rPr>
          <w:sz w:val="28"/>
        </w:rPr>
        <w:t>Procurement planning is based on applications recei</w:t>
      </w:r>
      <w:bookmarkStart w:id="2" w:name="_GoBack"/>
      <w:bookmarkEnd w:id="2"/>
      <w:r>
        <w:rPr>
          <w:sz w:val="28"/>
        </w:rPr>
        <w:t>ved from all departments of the university.</w:t>
      </w:r>
    </w:p>
    <w:p w:rsidR="0037496A" w:rsidRDefault="00C84A3F">
      <w:pPr>
        <w:pStyle w:val="a4"/>
        <w:numPr>
          <w:ilvl w:val="0"/>
          <w:numId w:val="1"/>
        </w:numPr>
        <w:tabs>
          <w:tab w:val="left" w:pos="429"/>
        </w:tabs>
        <w:ind w:right="739" w:firstLine="0"/>
        <w:rPr>
          <w:sz w:val="28"/>
        </w:rPr>
      </w:pPr>
      <w:r>
        <w:rPr>
          <w:sz w:val="28"/>
        </w:rPr>
        <w:t>Planning of utility services (heat supply, electricity, water, sewage, etc.) is carried out based on the calculation of regulatory documentation.</w:t>
      </w:r>
    </w:p>
    <w:p w:rsidR="0037496A" w:rsidRDefault="00C84A3F">
      <w:pPr>
        <w:pStyle w:val="a3"/>
        <w:ind w:right="743" w:firstLine="777"/>
      </w:pPr>
      <w:r>
        <w:t>Every year, at the meeting of the University Senate, a report on the implementation of the current year's budget and planning of the indicators of the university budget for the next year are made.</w:t>
      </w:r>
    </w:p>
    <w:p w:rsidR="0037496A" w:rsidRDefault="00C84A3F">
      <w:pPr>
        <w:pStyle w:val="a3"/>
        <w:ind w:right="708" w:firstLine="705"/>
      </w:pPr>
      <w:r>
        <w:t xml:space="preserve">Agreement between the Government of the Republic of Kazakhstan and the Government of the Republic of Turkey dated October 22, 2009. A. According to Article 11 of the Agreement on the Terms of Service of </w:t>
      </w:r>
      <w:proofErr w:type="spellStart"/>
      <w:r>
        <w:t>Yasawi</w:t>
      </w:r>
      <w:proofErr w:type="spellEnd"/>
      <w:r>
        <w:t xml:space="preserve"> State Technical University (as amended on December 23, 2010) (ratified by the Law of the Republic of Kazakhstan dated January 9, 2012 No. 531 - IV), comprehensive inspection and control of the university's activities is carried out no more than once a year by the Authorized Council (of the university high management body) and consists of a commission appointed by an equal number of members from two countries: the Republic of Kazakhstan and the Republic of Turkey. Also, on the basis of the mentioned article, the state bodies of the Republic of Kazakhstan and the Republic of Turkey have the right to carry out scheduled inspections of the university within their competence no more than once a year, and unscheduled inspections in accordance with the procedure established by the national legislation of the two states: Kazakhstan and Turkey. Financial reporting of the University is carried out according to International Financial Reporting Standards (IFRS), transition to IFRS in 2008</w:t>
      </w:r>
      <w:r>
        <w:rPr>
          <w:spacing w:val="-2"/>
        </w:rPr>
        <w:t xml:space="preserve"> </w:t>
      </w:r>
      <w:r>
        <w:t>From January 1</w:t>
      </w:r>
      <w:r>
        <w:rPr>
          <w:spacing w:val="-1"/>
        </w:rPr>
        <w:t xml:space="preserve"> </w:t>
      </w:r>
      <w:r>
        <w:t>from start to finish</w:t>
      </w:r>
      <w:r>
        <w:rPr>
          <w:spacing w:val="-2"/>
        </w:rPr>
        <w:t xml:space="preserve"> </w:t>
      </w:r>
      <w:r>
        <w:t>carried out.</w:t>
      </w:r>
      <w:r>
        <w:rPr>
          <w:spacing w:val="-3"/>
        </w:rPr>
        <w:t xml:space="preserve"> </w:t>
      </w:r>
      <w:r>
        <w:t>Per year</w:t>
      </w:r>
      <w:r>
        <w:rPr>
          <w:spacing w:val="-3"/>
        </w:rPr>
        <w:t xml:space="preserve"> </w:t>
      </w:r>
      <w:r>
        <w:t>one time</w:t>
      </w:r>
      <w:r>
        <w:rPr>
          <w:spacing w:val="-1"/>
        </w:rPr>
        <w:t xml:space="preserve"> </w:t>
      </w:r>
      <w:r>
        <w:t xml:space="preserve">Financial statements are submitted to the Ministry of Education and Culture of the Republic of Kazakhstan and the Ministry of Education and Culture of the Republic of Kazakhstan. Every month to the </w:t>
      </w:r>
      <w:proofErr w:type="spellStart"/>
      <w:r>
        <w:t>MoS</w:t>
      </w:r>
      <w:proofErr w:type="spellEnd"/>
      <w:r>
        <w:t xml:space="preserve"> of the Republic of Kazakhstan</w:t>
      </w:r>
      <w:r>
        <w:rPr>
          <w:spacing w:val="-2"/>
        </w:rPr>
        <w:t xml:space="preserve"> </w:t>
      </w:r>
      <w:r>
        <w:t xml:space="preserve">and acts of the performed works are submitted to the Ministry of Education and Culture of the Republic of Kazakhstan every quarter. Tax reports are submitted in electronic </w:t>
      </w:r>
      <w:proofErr w:type="gramStart"/>
      <w:r>
        <w:t>form,</w:t>
      </w:r>
      <w:proofErr w:type="gramEnd"/>
      <w:r>
        <w:t xml:space="preserve"> the tax service carries out camera control.</w:t>
      </w:r>
    </w:p>
    <w:p w:rsidR="0037496A" w:rsidRDefault="00C84A3F">
      <w:pPr>
        <w:pStyle w:val="a3"/>
        <w:ind w:right="731" w:firstLine="705"/>
      </w:pPr>
      <w:r>
        <w:t>Acting within the framework of the above-mentioned Agreement, the University serves the development of friendship and cooperation in the field of education and science between the Republic of Kazakhstan and the Republic of Turkey, and is a fundamental long-term investment project in the training of qualified specialists with higher and post-higher education in the entire Turkic-speaking world.</w:t>
      </w:r>
    </w:p>
    <w:p w:rsidR="0037496A" w:rsidRDefault="00C84A3F">
      <w:pPr>
        <w:pStyle w:val="a3"/>
        <w:ind w:right="723" w:firstLine="705"/>
      </w:pPr>
      <w:r>
        <w:t>The university has a powerful material and technical base. A scientific library with 690 seats, equipped with modern equipment, an electronic library, built with the funds of the Turkish budget, and the work of students and teachers in the study halls of the library.</w:t>
      </w:r>
      <w:r>
        <w:rPr>
          <w:spacing w:val="80"/>
          <w:w w:val="150"/>
        </w:rPr>
        <w:t xml:space="preserve"> </w:t>
      </w:r>
      <w:proofErr w:type="spellStart"/>
      <w:r>
        <w:t>i</w:t>
      </w:r>
      <w:proofErr w:type="spellEnd"/>
      <w:r>
        <w:rPr>
          <w:spacing w:val="80"/>
          <w:w w:val="150"/>
        </w:rPr>
        <w:t xml:space="preserve"> </w:t>
      </w:r>
      <w:r>
        <w:t>study</w:t>
      </w:r>
      <w:r>
        <w:rPr>
          <w:spacing w:val="80"/>
          <w:w w:val="150"/>
        </w:rPr>
        <w:t xml:space="preserve"> </w:t>
      </w:r>
      <w:r>
        <w:t>for</w:t>
      </w:r>
      <w:r>
        <w:rPr>
          <w:spacing w:val="80"/>
          <w:w w:val="150"/>
        </w:rPr>
        <w:t xml:space="preserve"> </w:t>
      </w:r>
      <w:r>
        <w:t>suitable</w:t>
      </w:r>
      <w:r>
        <w:rPr>
          <w:spacing w:val="80"/>
          <w:w w:val="150"/>
        </w:rPr>
        <w:t xml:space="preserve"> </w:t>
      </w:r>
      <w:r>
        <w:t>circumstances</w:t>
      </w:r>
      <w:r>
        <w:rPr>
          <w:spacing w:val="80"/>
          <w:w w:val="150"/>
        </w:rPr>
        <w:t xml:space="preserve"> </w:t>
      </w:r>
      <w:r>
        <w:t>made.</w:t>
      </w:r>
      <w:r>
        <w:rPr>
          <w:spacing w:val="80"/>
          <w:w w:val="150"/>
        </w:rPr>
        <w:t xml:space="preserve"> </w:t>
      </w:r>
      <w:r>
        <w:t>At the university</w:t>
      </w:r>
    </w:p>
    <w:p w:rsidR="0037496A" w:rsidRDefault="0037496A">
      <w:pPr>
        <w:sectPr w:rsidR="0037496A">
          <w:pgSz w:w="11930" w:h="16860"/>
          <w:pgMar w:top="1020" w:right="120" w:bottom="280" w:left="1480" w:header="720" w:footer="720" w:gutter="0"/>
          <w:cols w:space="720"/>
        </w:sectPr>
      </w:pPr>
    </w:p>
    <w:p w:rsidR="0037496A" w:rsidRDefault="00C84A3F">
      <w:pPr>
        <w:pStyle w:val="a3"/>
        <w:spacing w:before="61"/>
        <w:ind w:right="722"/>
      </w:pPr>
      <w:r>
        <w:lastRenderedPageBreak/>
        <w:t>there is a printing house that produces educational and methodological literature (educational materials, monographs, methodological tools, etc.) according to the thematic plan of the university, and produces blank products of the university's services and departments. Study process 15 (fifteen) studies and</w:t>
      </w:r>
    </w:p>
    <w:p w:rsidR="0037496A" w:rsidRDefault="00C84A3F">
      <w:pPr>
        <w:pStyle w:val="a3"/>
        <w:spacing w:before="4"/>
        <w:ind w:right="706"/>
      </w:pPr>
      <w:r>
        <w:t>It will take place in the premises located in 2 (two) administrative buildings. Educational laboratories and simulation center of the Faculty of Medicine, a clinic at the University, a botanical garden spanning 88 square meters (eighty-eight</w:t>
      </w:r>
      <w:r>
        <w:rPr>
          <w:spacing w:val="80"/>
          <w:w w:val="150"/>
        </w:rPr>
        <w:t xml:space="preserve"> </w:t>
      </w:r>
      <w:proofErr w:type="gramStart"/>
      <w:r>
        <w:t>hectare</w:t>
      </w:r>
      <w:proofErr w:type="gramEnd"/>
      <w:r>
        <w:t xml:space="preserve"> and the Iasi hotel complex, the industrial center located in the building of the cultural center of the university, two museums (archeology and history) serve as an experimental base for students, allowing our students to acquire knowledge along with theoretical knowledge.</w:t>
      </w:r>
      <w:r>
        <w:rPr>
          <w:spacing w:val="-1"/>
        </w:rPr>
        <w:t xml:space="preserve"> </w:t>
      </w:r>
      <w:r>
        <w:t xml:space="preserve">and practical skills. All educational buildings have gymnasiums for training classes, year-round swimming pools. A medical dispensary is established and operates to provide first aid and conduct annual preventive measures to protect the health of university students and employees. A sports complex, courts, sports fields and a football field were built and fully </w:t>
      </w:r>
      <w:r>
        <w:rPr>
          <w:spacing w:val="-2"/>
        </w:rPr>
        <w:t>equipped with funds from the Turkish budget allocated for targeted financing.</w:t>
      </w:r>
    </w:p>
    <w:p w:rsidR="0037496A" w:rsidRDefault="00C84A3F">
      <w:pPr>
        <w:pStyle w:val="a3"/>
        <w:spacing w:before="2"/>
        <w:ind w:right="716" w:firstLine="705"/>
      </w:pPr>
      <w:r>
        <w:t xml:space="preserve">The OBC building specially built for the Faculty of Arts and Sports has a sports hall, and in the courtyard of the building there is a stadium for holding national and international sports events. 8 (eight) dormitories for 3,221 (three thousand two hundred and twenty-one) places have study halls, Internet access, interest clubs, utility rooms for cooking hot meals, sanitary and hygienic standards of accommodation are provided. Every day, the university canteen for 500 (five hundred) seats supplies students and employees with food, their menu is controlled by technologists. Low food prices for students and discounted meals for athletes are provided. The university administration also pays special attention to creating the best conditions for faculty accommodation in 10 (ten) cottages comprising 72 (seventy-two) apartments. In summer, recreation areas for university employees and students work: </w:t>
      </w:r>
      <w:proofErr w:type="spellStart"/>
      <w:r>
        <w:t>Mashat</w:t>
      </w:r>
      <w:proofErr w:type="spellEnd"/>
      <w:r>
        <w:t xml:space="preserve"> camp and </w:t>
      </w:r>
      <w:proofErr w:type="spellStart"/>
      <w:r>
        <w:t>Torankol</w:t>
      </w:r>
      <w:proofErr w:type="spellEnd"/>
      <w:r>
        <w:t xml:space="preserve"> lake.</w:t>
      </w:r>
    </w:p>
    <w:p w:rsidR="0037496A" w:rsidRDefault="00C84A3F">
      <w:pPr>
        <w:pStyle w:val="a3"/>
        <w:spacing w:before="3"/>
        <w:ind w:right="726" w:firstLine="705"/>
      </w:pPr>
      <w:r>
        <w:t>Republic of Kazakhstan Education</w:t>
      </w:r>
      <w:r>
        <w:rPr>
          <w:spacing w:val="-1"/>
        </w:rPr>
        <w:t xml:space="preserve"> </w:t>
      </w:r>
      <w:r>
        <w:t>and in accordance with the order of the Minister of Science No. 122 dated March 25, 2021, the pedagogy recommended for professors in higher and (or) post-higher educational institutions of the Ministry of Education and Science of the Republic of Kazakhstan</w:t>
      </w:r>
      <w:r>
        <w:rPr>
          <w:spacing w:val="80"/>
        </w:rPr>
        <w:t xml:space="preserve"> </w:t>
      </w:r>
      <w:r>
        <w:t>load</w:t>
      </w:r>
      <w:r>
        <w:rPr>
          <w:spacing w:val="80"/>
        </w:rPr>
        <w:t xml:space="preserve"> </w:t>
      </w:r>
      <w:r>
        <w:t>and</w:t>
      </w:r>
      <w:r>
        <w:rPr>
          <w:spacing w:val="80"/>
        </w:rPr>
        <w:t xml:space="preserve"> </w:t>
      </w:r>
      <w:r>
        <w:t>the most</w:t>
      </w:r>
      <w:r>
        <w:rPr>
          <w:spacing w:val="80"/>
        </w:rPr>
        <w:t xml:space="preserve"> </w:t>
      </w:r>
      <w:r>
        <w:t>lower</w:t>
      </w:r>
      <w:r>
        <w:rPr>
          <w:spacing w:val="80"/>
        </w:rPr>
        <w:t xml:space="preserve"> </w:t>
      </w:r>
      <w:r>
        <w:t>salary</w:t>
      </w:r>
      <w:r>
        <w:rPr>
          <w:spacing w:val="80"/>
        </w:rPr>
        <w:t xml:space="preserve"> </w:t>
      </w:r>
      <w:r>
        <w:t>clarify</w:t>
      </w:r>
      <w:r>
        <w:rPr>
          <w:spacing w:val="40"/>
        </w:rPr>
        <w:t xml:space="preserve"> </w:t>
      </w:r>
      <w:r>
        <w:t>about</w:t>
      </w:r>
    </w:p>
    <w:p w:rsidR="0037496A" w:rsidRDefault="00C84A3F">
      <w:pPr>
        <w:pStyle w:val="a3"/>
        <w:spacing w:before="80"/>
        <w:ind w:right="715"/>
      </w:pPr>
      <w:r>
        <w:t>Due to the decree and orders written above, the salary of university employees will be increased by 20% from September 1, 2021.</w:t>
      </w:r>
      <w:r>
        <w:rPr>
          <w:spacing w:val="80"/>
        </w:rPr>
        <w:t xml:space="preserve"> </w:t>
      </w:r>
      <w:r>
        <w:t>increased to</w:t>
      </w:r>
    </w:p>
    <w:p w:rsidR="0037496A" w:rsidRDefault="00C84A3F">
      <w:pPr>
        <w:pStyle w:val="a3"/>
        <w:spacing w:before="1"/>
        <w:ind w:right="722" w:firstLine="705"/>
      </w:pPr>
      <w:r>
        <w:t>Also, differentiated social payments are paid from the Turkish budget in addition to the salary in order to financially motivate the teaching staff and increase the share of the teaching staff's qualification.</w:t>
      </w:r>
    </w:p>
    <w:p w:rsidR="0037496A" w:rsidRDefault="00C84A3F">
      <w:pPr>
        <w:pStyle w:val="a3"/>
        <w:spacing w:before="1"/>
        <w:ind w:left="925"/>
      </w:pPr>
      <w:r>
        <w:t>2021</w:t>
      </w:r>
      <w:r>
        <w:rPr>
          <w:spacing w:val="62"/>
        </w:rPr>
        <w:t xml:space="preserve">   </w:t>
      </w:r>
      <w:r>
        <w:t>year</w:t>
      </w:r>
      <w:r>
        <w:rPr>
          <w:spacing w:val="62"/>
        </w:rPr>
        <w:t xml:space="preserve">   </w:t>
      </w:r>
      <w:r>
        <w:t>university</w:t>
      </w:r>
      <w:r>
        <w:rPr>
          <w:spacing w:val="62"/>
        </w:rPr>
        <w:t xml:space="preserve">   </w:t>
      </w:r>
      <w:r>
        <w:t>expenses</w:t>
      </w:r>
      <w:r>
        <w:rPr>
          <w:spacing w:val="61"/>
        </w:rPr>
        <w:t xml:space="preserve">   </w:t>
      </w:r>
      <w:r>
        <w:t>general</w:t>
      </w:r>
      <w:r>
        <w:rPr>
          <w:spacing w:val="62"/>
        </w:rPr>
        <w:t xml:space="preserve">   </w:t>
      </w:r>
      <w:r>
        <w:rPr>
          <w:spacing w:val="-2"/>
        </w:rPr>
        <w:t>in volume</w:t>
      </w:r>
    </w:p>
    <w:p w:rsidR="0037496A" w:rsidRDefault="0037496A">
      <w:pPr>
        <w:sectPr w:rsidR="0037496A">
          <w:pgSz w:w="11930" w:h="16860"/>
          <w:pgMar w:top="1020" w:right="120" w:bottom="280" w:left="1480" w:header="720" w:footer="720" w:gutter="0"/>
          <w:cols w:space="720"/>
        </w:sectPr>
      </w:pPr>
    </w:p>
    <w:p w:rsidR="0037496A" w:rsidRDefault="00C84A3F">
      <w:pPr>
        <w:pStyle w:val="a3"/>
        <w:spacing w:before="62"/>
      </w:pPr>
      <w:r>
        <w:lastRenderedPageBreak/>
        <w:t>of personnel</w:t>
      </w:r>
      <w:r>
        <w:rPr>
          <w:spacing w:val="-7"/>
        </w:rPr>
        <w:t xml:space="preserve"> </w:t>
      </w:r>
      <w:r>
        <w:t>salary</w:t>
      </w:r>
      <w:r>
        <w:rPr>
          <w:spacing w:val="-7"/>
        </w:rPr>
        <w:t xml:space="preserve"> </w:t>
      </w:r>
      <w:r>
        <w:t>share</w:t>
      </w:r>
      <w:r>
        <w:rPr>
          <w:spacing w:val="-6"/>
        </w:rPr>
        <w:t xml:space="preserve"> </w:t>
      </w:r>
      <w:r>
        <w:t>70%</w:t>
      </w:r>
      <w:r>
        <w:rPr>
          <w:spacing w:val="32"/>
        </w:rPr>
        <w:t xml:space="preserve"> </w:t>
      </w:r>
      <w:r>
        <w:rPr>
          <w:spacing w:val="-2"/>
        </w:rPr>
        <w:t>formed.</w:t>
      </w:r>
    </w:p>
    <w:p w:rsidR="0037496A" w:rsidRDefault="00C84A3F">
      <w:pPr>
        <w:pStyle w:val="a3"/>
        <w:spacing w:before="2"/>
        <w:ind w:right="722" w:firstLine="705"/>
      </w:pPr>
      <w:r>
        <w:t>The material and technical base of the university is updated, modernized, and equipped every year. Table 2 shows the details of the university's purchase of material assets for educational purposes during 4 (four) years:</w:t>
      </w:r>
    </w:p>
    <w:p w:rsidR="0037496A" w:rsidRDefault="0037496A">
      <w:pPr>
        <w:pStyle w:val="a3"/>
        <w:spacing w:before="210"/>
        <w:ind w:left="0"/>
        <w:jc w:val="left"/>
      </w:pPr>
    </w:p>
    <w:p w:rsidR="0037496A" w:rsidRDefault="00C84A3F">
      <w:pPr>
        <w:pStyle w:val="1"/>
      </w:pPr>
      <w:bookmarkStart w:id="3" w:name="Кесте_2._Деректер_мың_теңгемен"/>
      <w:bookmarkEnd w:id="3"/>
      <w:r>
        <w:t>Table</w:t>
      </w:r>
      <w:r>
        <w:rPr>
          <w:spacing w:val="-16"/>
        </w:rPr>
        <w:t xml:space="preserve"> </w:t>
      </w:r>
      <w:r>
        <w:t>2.</w:t>
      </w:r>
      <w:r>
        <w:rPr>
          <w:spacing w:val="-14"/>
        </w:rPr>
        <w:t xml:space="preserve"> </w:t>
      </w:r>
      <w:r>
        <w:t>Data</w:t>
      </w:r>
      <w:r>
        <w:rPr>
          <w:spacing w:val="-16"/>
        </w:rPr>
        <w:t xml:space="preserve"> </w:t>
      </w:r>
      <w:r>
        <w:t>thousand</w:t>
      </w:r>
      <w:r>
        <w:rPr>
          <w:spacing w:val="-16"/>
        </w:rPr>
        <w:t xml:space="preserve"> </w:t>
      </w:r>
      <w:r>
        <w:rPr>
          <w:spacing w:val="-2"/>
        </w:rPr>
        <w:t xml:space="preserve">in </w:t>
      </w:r>
      <w:proofErr w:type="spellStart"/>
      <w:r>
        <w:rPr>
          <w:spacing w:val="-2"/>
        </w:rPr>
        <w:t>tenge</w:t>
      </w:r>
      <w:proofErr w:type="spellEnd"/>
    </w:p>
    <w:p w:rsidR="0037496A" w:rsidRDefault="0037496A">
      <w:pPr>
        <w:pStyle w:val="a3"/>
        <w:spacing w:before="1"/>
        <w:ind w:left="0"/>
        <w:jc w:val="left"/>
        <w:rPr>
          <w:b/>
          <w:sz w:val="1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985"/>
        <w:gridCol w:w="1418"/>
        <w:gridCol w:w="1560"/>
        <w:gridCol w:w="1558"/>
        <w:gridCol w:w="1560"/>
        <w:gridCol w:w="1560"/>
      </w:tblGrid>
      <w:tr w:rsidR="0037496A">
        <w:trPr>
          <w:trHeight w:val="321"/>
        </w:trPr>
        <w:tc>
          <w:tcPr>
            <w:tcW w:w="458" w:type="dxa"/>
          </w:tcPr>
          <w:p w:rsidR="0037496A" w:rsidRDefault="00C84A3F">
            <w:pPr>
              <w:pStyle w:val="TableParagraph"/>
              <w:ind w:left="134"/>
              <w:rPr>
                <w:b/>
                <w:sz w:val="28"/>
              </w:rPr>
            </w:pPr>
            <w:r>
              <w:rPr>
                <w:b/>
                <w:spacing w:val="-10"/>
                <w:sz w:val="28"/>
              </w:rPr>
              <w:t>No</w:t>
            </w:r>
          </w:p>
        </w:tc>
        <w:tc>
          <w:tcPr>
            <w:tcW w:w="1985" w:type="dxa"/>
          </w:tcPr>
          <w:p w:rsidR="0037496A" w:rsidRDefault="00C84A3F">
            <w:pPr>
              <w:pStyle w:val="TableParagraph"/>
              <w:ind w:left="585"/>
              <w:rPr>
                <w:b/>
                <w:sz w:val="28"/>
              </w:rPr>
            </w:pPr>
            <w:r>
              <w:rPr>
                <w:b/>
                <w:spacing w:val="-2"/>
                <w:sz w:val="28"/>
              </w:rPr>
              <w:t>Name</w:t>
            </w:r>
          </w:p>
        </w:tc>
        <w:tc>
          <w:tcPr>
            <w:tcW w:w="1418" w:type="dxa"/>
          </w:tcPr>
          <w:p w:rsidR="0037496A" w:rsidRDefault="00C84A3F">
            <w:pPr>
              <w:pStyle w:val="TableParagraph"/>
              <w:ind w:left="528"/>
              <w:rPr>
                <w:b/>
                <w:sz w:val="28"/>
              </w:rPr>
            </w:pPr>
            <w:r>
              <w:rPr>
                <w:b/>
                <w:spacing w:val="-4"/>
                <w:sz w:val="28"/>
              </w:rPr>
              <w:t>2020</w:t>
            </w:r>
          </w:p>
        </w:tc>
        <w:tc>
          <w:tcPr>
            <w:tcW w:w="1560" w:type="dxa"/>
          </w:tcPr>
          <w:p w:rsidR="0037496A" w:rsidRDefault="00C84A3F">
            <w:pPr>
              <w:pStyle w:val="TableParagraph"/>
              <w:ind w:left="529"/>
              <w:rPr>
                <w:b/>
                <w:sz w:val="28"/>
              </w:rPr>
            </w:pPr>
            <w:r>
              <w:rPr>
                <w:b/>
                <w:spacing w:val="-4"/>
                <w:sz w:val="28"/>
              </w:rPr>
              <w:t>2021</w:t>
            </w:r>
          </w:p>
        </w:tc>
        <w:tc>
          <w:tcPr>
            <w:tcW w:w="1558" w:type="dxa"/>
          </w:tcPr>
          <w:p w:rsidR="0037496A" w:rsidRDefault="00C84A3F">
            <w:pPr>
              <w:pStyle w:val="TableParagraph"/>
              <w:ind w:left="529"/>
              <w:rPr>
                <w:b/>
                <w:sz w:val="28"/>
              </w:rPr>
            </w:pPr>
            <w:r>
              <w:rPr>
                <w:b/>
                <w:spacing w:val="-4"/>
                <w:sz w:val="28"/>
              </w:rPr>
              <w:t>2022</w:t>
            </w:r>
          </w:p>
        </w:tc>
        <w:tc>
          <w:tcPr>
            <w:tcW w:w="1560" w:type="dxa"/>
          </w:tcPr>
          <w:p w:rsidR="0037496A" w:rsidRDefault="00C84A3F" w:rsidP="00C84A3F">
            <w:pPr>
              <w:pStyle w:val="TableParagraph"/>
              <w:ind w:left="529"/>
              <w:rPr>
                <w:b/>
                <w:sz w:val="28"/>
              </w:rPr>
            </w:pPr>
            <w:r>
              <w:rPr>
                <w:b/>
                <w:spacing w:val="-4"/>
                <w:sz w:val="28"/>
              </w:rPr>
              <w:t>2023</w:t>
            </w:r>
          </w:p>
        </w:tc>
        <w:tc>
          <w:tcPr>
            <w:tcW w:w="1560" w:type="dxa"/>
          </w:tcPr>
          <w:p w:rsidR="0037496A" w:rsidRDefault="00C84A3F">
            <w:pPr>
              <w:pStyle w:val="TableParagraph"/>
              <w:ind w:left="532"/>
              <w:rPr>
                <w:b/>
                <w:sz w:val="28"/>
              </w:rPr>
            </w:pPr>
            <w:r>
              <w:rPr>
                <w:b/>
                <w:spacing w:val="-4"/>
                <w:sz w:val="28"/>
              </w:rPr>
              <w:t>2024</w:t>
            </w:r>
          </w:p>
        </w:tc>
      </w:tr>
      <w:tr w:rsidR="00334A35" w:rsidTr="003471E7">
        <w:trPr>
          <w:trHeight w:val="321"/>
        </w:trPr>
        <w:tc>
          <w:tcPr>
            <w:tcW w:w="458" w:type="dxa"/>
          </w:tcPr>
          <w:p w:rsidR="00334A35" w:rsidRDefault="00334A35" w:rsidP="00334A35">
            <w:pPr>
              <w:pStyle w:val="TableParagraph"/>
              <w:ind w:left="119"/>
              <w:rPr>
                <w:sz w:val="28"/>
              </w:rPr>
            </w:pPr>
            <w:r>
              <w:rPr>
                <w:spacing w:val="-10"/>
                <w:sz w:val="28"/>
              </w:rPr>
              <w:t>1</w:t>
            </w:r>
          </w:p>
        </w:tc>
        <w:tc>
          <w:tcPr>
            <w:tcW w:w="1985" w:type="dxa"/>
          </w:tcPr>
          <w:p w:rsidR="00334A35" w:rsidRDefault="00334A35" w:rsidP="00334A35">
            <w:pPr>
              <w:pStyle w:val="TableParagraph"/>
              <w:ind w:left="120"/>
              <w:rPr>
                <w:sz w:val="28"/>
              </w:rPr>
            </w:pPr>
            <w:r>
              <w:rPr>
                <w:spacing w:val="-2"/>
                <w:sz w:val="28"/>
              </w:rPr>
              <w:t>Computers</w:t>
            </w:r>
          </w:p>
        </w:tc>
        <w:tc>
          <w:tcPr>
            <w:tcW w:w="1418" w:type="dxa"/>
          </w:tcPr>
          <w:p w:rsidR="00334A35" w:rsidRDefault="00334A35" w:rsidP="00334A35">
            <w:pPr>
              <w:pStyle w:val="TableParagraph"/>
              <w:ind w:left="118"/>
              <w:rPr>
                <w:sz w:val="28"/>
              </w:rPr>
            </w:pPr>
            <w:r>
              <w:rPr>
                <w:sz w:val="28"/>
              </w:rPr>
              <w:t>56</w:t>
            </w:r>
            <w:r>
              <w:rPr>
                <w:spacing w:val="-3"/>
                <w:sz w:val="28"/>
              </w:rPr>
              <w:t xml:space="preserve"> </w:t>
            </w:r>
            <w:r>
              <w:rPr>
                <w:spacing w:val="-2"/>
                <w:sz w:val="28"/>
              </w:rPr>
              <w:t>653,11</w:t>
            </w:r>
          </w:p>
        </w:tc>
        <w:tc>
          <w:tcPr>
            <w:tcW w:w="1560" w:type="dxa"/>
          </w:tcPr>
          <w:p w:rsidR="00334A35" w:rsidRDefault="00334A35" w:rsidP="00334A35">
            <w:pPr>
              <w:pStyle w:val="TableParagraph"/>
              <w:rPr>
                <w:sz w:val="28"/>
              </w:rPr>
            </w:pPr>
            <w:r>
              <w:rPr>
                <w:sz w:val="28"/>
              </w:rPr>
              <w:t>145</w:t>
            </w:r>
            <w:r>
              <w:rPr>
                <w:spacing w:val="-11"/>
                <w:sz w:val="28"/>
              </w:rPr>
              <w:t xml:space="preserve"> </w:t>
            </w:r>
            <w:r>
              <w:rPr>
                <w:spacing w:val="-2"/>
                <w:sz w:val="28"/>
              </w:rPr>
              <w:t>470,16</w:t>
            </w:r>
          </w:p>
        </w:tc>
        <w:tc>
          <w:tcPr>
            <w:tcW w:w="1558" w:type="dxa"/>
          </w:tcPr>
          <w:p w:rsidR="00334A35" w:rsidRDefault="00334A35" w:rsidP="00334A35">
            <w:pPr>
              <w:pStyle w:val="TableParagraph"/>
              <w:rPr>
                <w:sz w:val="28"/>
              </w:rPr>
            </w:pPr>
            <w:r>
              <w:rPr>
                <w:sz w:val="28"/>
              </w:rPr>
              <w:t>13</w:t>
            </w:r>
            <w:r>
              <w:rPr>
                <w:spacing w:val="-5"/>
                <w:sz w:val="28"/>
              </w:rPr>
              <w:t xml:space="preserve"> </w:t>
            </w:r>
            <w:r>
              <w:rPr>
                <w:spacing w:val="-2"/>
                <w:sz w:val="28"/>
              </w:rPr>
              <w:t>581,2</w:t>
            </w:r>
          </w:p>
        </w:tc>
        <w:tc>
          <w:tcPr>
            <w:tcW w:w="1560" w:type="dxa"/>
          </w:tcPr>
          <w:p w:rsidR="00334A35" w:rsidRPr="003E0314" w:rsidRDefault="00334A35" w:rsidP="00334A35">
            <w:pPr>
              <w:pStyle w:val="TableParagraph"/>
              <w:rPr>
                <w:sz w:val="28"/>
                <w:lang w:val="ru-RU"/>
              </w:rPr>
            </w:pPr>
            <w:r>
              <w:rPr>
                <w:sz w:val="28"/>
                <w:lang w:val="ru-RU"/>
              </w:rPr>
              <w:t>9 574,16</w:t>
            </w:r>
          </w:p>
        </w:tc>
        <w:tc>
          <w:tcPr>
            <w:tcW w:w="1560" w:type="dxa"/>
          </w:tcPr>
          <w:p w:rsidR="00334A35" w:rsidRPr="003E0314" w:rsidRDefault="00334A35" w:rsidP="00334A35">
            <w:pPr>
              <w:pStyle w:val="TableParagraph"/>
              <w:rPr>
                <w:sz w:val="28"/>
                <w:lang w:val="ru-RU"/>
              </w:rPr>
            </w:pPr>
            <w:r>
              <w:rPr>
                <w:sz w:val="28"/>
                <w:lang w:val="ru-RU"/>
              </w:rPr>
              <w:t>86 035,6</w:t>
            </w:r>
          </w:p>
        </w:tc>
      </w:tr>
      <w:tr w:rsidR="00334A35" w:rsidTr="003471E7">
        <w:trPr>
          <w:trHeight w:val="642"/>
        </w:trPr>
        <w:tc>
          <w:tcPr>
            <w:tcW w:w="458" w:type="dxa"/>
          </w:tcPr>
          <w:p w:rsidR="00334A35" w:rsidRDefault="00334A35" w:rsidP="00334A35">
            <w:pPr>
              <w:pStyle w:val="TableParagraph"/>
              <w:spacing w:line="310" w:lineRule="exact"/>
              <w:ind w:left="119"/>
              <w:rPr>
                <w:sz w:val="28"/>
              </w:rPr>
            </w:pPr>
            <w:r>
              <w:rPr>
                <w:spacing w:val="-10"/>
                <w:sz w:val="28"/>
              </w:rPr>
              <w:t>2</w:t>
            </w:r>
          </w:p>
        </w:tc>
        <w:tc>
          <w:tcPr>
            <w:tcW w:w="1985" w:type="dxa"/>
          </w:tcPr>
          <w:p w:rsidR="00334A35" w:rsidRDefault="00334A35" w:rsidP="00334A35">
            <w:pPr>
              <w:pStyle w:val="TableParagraph"/>
              <w:spacing w:line="230" w:lineRule="auto"/>
              <w:ind w:left="120"/>
              <w:rPr>
                <w:sz w:val="28"/>
              </w:rPr>
            </w:pPr>
            <w:r>
              <w:rPr>
                <w:spacing w:val="-6"/>
                <w:sz w:val="28"/>
              </w:rPr>
              <w:t xml:space="preserve">Organization </w:t>
            </w:r>
            <w:r>
              <w:rPr>
                <w:spacing w:val="-2"/>
                <w:sz w:val="28"/>
              </w:rPr>
              <w:t>technique</w:t>
            </w:r>
          </w:p>
        </w:tc>
        <w:tc>
          <w:tcPr>
            <w:tcW w:w="1418" w:type="dxa"/>
          </w:tcPr>
          <w:p w:rsidR="00334A35" w:rsidRDefault="00334A35" w:rsidP="00334A35">
            <w:pPr>
              <w:pStyle w:val="TableParagraph"/>
              <w:spacing w:line="310" w:lineRule="exact"/>
              <w:ind w:left="118"/>
              <w:rPr>
                <w:sz w:val="28"/>
              </w:rPr>
            </w:pPr>
            <w:r>
              <w:rPr>
                <w:sz w:val="28"/>
              </w:rPr>
              <w:t>65</w:t>
            </w:r>
            <w:r>
              <w:rPr>
                <w:spacing w:val="-3"/>
                <w:sz w:val="28"/>
              </w:rPr>
              <w:t xml:space="preserve"> </w:t>
            </w:r>
            <w:r>
              <w:rPr>
                <w:spacing w:val="-2"/>
                <w:sz w:val="28"/>
              </w:rPr>
              <w:t>644,76</w:t>
            </w:r>
          </w:p>
        </w:tc>
        <w:tc>
          <w:tcPr>
            <w:tcW w:w="1560" w:type="dxa"/>
          </w:tcPr>
          <w:p w:rsidR="00334A35" w:rsidRDefault="00334A35" w:rsidP="00334A35">
            <w:pPr>
              <w:pStyle w:val="TableParagraph"/>
              <w:spacing w:line="310" w:lineRule="exact"/>
              <w:rPr>
                <w:sz w:val="28"/>
              </w:rPr>
            </w:pPr>
            <w:r>
              <w:rPr>
                <w:sz w:val="28"/>
              </w:rPr>
              <w:t>63</w:t>
            </w:r>
            <w:r>
              <w:rPr>
                <w:spacing w:val="-3"/>
                <w:sz w:val="28"/>
              </w:rPr>
              <w:t xml:space="preserve"> </w:t>
            </w:r>
            <w:r>
              <w:rPr>
                <w:spacing w:val="-2"/>
                <w:sz w:val="28"/>
              </w:rPr>
              <w:t>180,03</w:t>
            </w:r>
          </w:p>
        </w:tc>
        <w:tc>
          <w:tcPr>
            <w:tcW w:w="1558" w:type="dxa"/>
          </w:tcPr>
          <w:p w:rsidR="00334A35" w:rsidRDefault="00334A35" w:rsidP="00334A35">
            <w:pPr>
              <w:pStyle w:val="TableParagraph"/>
              <w:spacing w:line="310" w:lineRule="exact"/>
              <w:rPr>
                <w:sz w:val="28"/>
              </w:rPr>
            </w:pPr>
            <w:r>
              <w:rPr>
                <w:sz w:val="28"/>
              </w:rPr>
              <w:t>30</w:t>
            </w:r>
            <w:r>
              <w:rPr>
                <w:spacing w:val="-5"/>
                <w:sz w:val="28"/>
              </w:rPr>
              <w:t xml:space="preserve"> </w:t>
            </w:r>
            <w:r>
              <w:rPr>
                <w:spacing w:val="-2"/>
                <w:sz w:val="28"/>
              </w:rPr>
              <w:t>427,5</w:t>
            </w:r>
          </w:p>
        </w:tc>
        <w:tc>
          <w:tcPr>
            <w:tcW w:w="1560" w:type="dxa"/>
          </w:tcPr>
          <w:p w:rsidR="00334A35" w:rsidRPr="003E0314" w:rsidRDefault="00334A35" w:rsidP="00334A35">
            <w:pPr>
              <w:pStyle w:val="TableParagraph"/>
              <w:spacing w:line="310" w:lineRule="exact"/>
              <w:rPr>
                <w:sz w:val="28"/>
                <w:lang w:val="ru-RU"/>
              </w:rPr>
            </w:pPr>
            <w:r>
              <w:rPr>
                <w:sz w:val="28"/>
                <w:lang w:val="ru-RU"/>
              </w:rPr>
              <w:t>10 398,14</w:t>
            </w:r>
          </w:p>
        </w:tc>
        <w:tc>
          <w:tcPr>
            <w:tcW w:w="1560" w:type="dxa"/>
          </w:tcPr>
          <w:p w:rsidR="00334A35" w:rsidRPr="003E0314" w:rsidRDefault="00334A35" w:rsidP="00334A35">
            <w:pPr>
              <w:pStyle w:val="TableParagraph"/>
              <w:spacing w:line="310" w:lineRule="exact"/>
              <w:rPr>
                <w:sz w:val="28"/>
                <w:lang w:val="ru-RU"/>
              </w:rPr>
            </w:pPr>
            <w:r>
              <w:rPr>
                <w:sz w:val="28"/>
                <w:lang w:val="ru-RU"/>
              </w:rPr>
              <w:t>59 642,7</w:t>
            </w:r>
          </w:p>
        </w:tc>
      </w:tr>
      <w:tr w:rsidR="00334A35" w:rsidTr="003471E7">
        <w:trPr>
          <w:trHeight w:val="645"/>
        </w:trPr>
        <w:tc>
          <w:tcPr>
            <w:tcW w:w="458" w:type="dxa"/>
          </w:tcPr>
          <w:p w:rsidR="00334A35" w:rsidRDefault="00334A35" w:rsidP="00334A35">
            <w:pPr>
              <w:pStyle w:val="TableParagraph"/>
              <w:spacing w:line="311" w:lineRule="exact"/>
              <w:ind w:left="119"/>
              <w:rPr>
                <w:sz w:val="28"/>
              </w:rPr>
            </w:pPr>
            <w:r>
              <w:rPr>
                <w:spacing w:val="-10"/>
                <w:sz w:val="28"/>
              </w:rPr>
              <w:t>3</w:t>
            </w:r>
          </w:p>
        </w:tc>
        <w:tc>
          <w:tcPr>
            <w:tcW w:w="1985" w:type="dxa"/>
          </w:tcPr>
          <w:p w:rsidR="00334A35" w:rsidRDefault="00334A35" w:rsidP="00334A35">
            <w:pPr>
              <w:pStyle w:val="TableParagraph"/>
              <w:spacing w:line="230" w:lineRule="auto"/>
              <w:ind w:left="120"/>
              <w:rPr>
                <w:sz w:val="28"/>
              </w:rPr>
            </w:pPr>
            <w:r>
              <w:rPr>
                <w:spacing w:val="-6"/>
                <w:sz w:val="28"/>
              </w:rPr>
              <w:t xml:space="preserve">Laboratory </w:t>
            </w:r>
            <w:r>
              <w:rPr>
                <w:spacing w:val="-2"/>
                <w:sz w:val="28"/>
              </w:rPr>
              <w:t>equipment</w:t>
            </w:r>
          </w:p>
        </w:tc>
        <w:tc>
          <w:tcPr>
            <w:tcW w:w="1418" w:type="dxa"/>
          </w:tcPr>
          <w:p w:rsidR="00334A35" w:rsidRDefault="00334A35" w:rsidP="00334A35">
            <w:pPr>
              <w:pStyle w:val="TableParagraph"/>
              <w:spacing w:line="311" w:lineRule="exact"/>
              <w:ind w:left="118"/>
              <w:rPr>
                <w:sz w:val="28"/>
              </w:rPr>
            </w:pPr>
            <w:r>
              <w:rPr>
                <w:sz w:val="28"/>
              </w:rPr>
              <w:t>21</w:t>
            </w:r>
            <w:r>
              <w:rPr>
                <w:spacing w:val="-3"/>
                <w:sz w:val="28"/>
              </w:rPr>
              <w:t xml:space="preserve"> </w:t>
            </w:r>
            <w:r>
              <w:rPr>
                <w:spacing w:val="-2"/>
                <w:sz w:val="28"/>
              </w:rPr>
              <w:t>200,27</w:t>
            </w:r>
          </w:p>
        </w:tc>
        <w:tc>
          <w:tcPr>
            <w:tcW w:w="1560" w:type="dxa"/>
          </w:tcPr>
          <w:p w:rsidR="00334A35" w:rsidRDefault="00334A35" w:rsidP="00334A35">
            <w:pPr>
              <w:pStyle w:val="TableParagraph"/>
              <w:spacing w:line="311" w:lineRule="exact"/>
              <w:rPr>
                <w:sz w:val="28"/>
              </w:rPr>
            </w:pPr>
            <w:r>
              <w:rPr>
                <w:sz w:val="28"/>
              </w:rPr>
              <w:t>42</w:t>
            </w:r>
            <w:r>
              <w:rPr>
                <w:spacing w:val="-3"/>
                <w:sz w:val="28"/>
              </w:rPr>
              <w:t xml:space="preserve"> </w:t>
            </w:r>
            <w:r>
              <w:rPr>
                <w:spacing w:val="-2"/>
                <w:sz w:val="28"/>
              </w:rPr>
              <w:t>410,43</w:t>
            </w:r>
          </w:p>
        </w:tc>
        <w:tc>
          <w:tcPr>
            <w:tcW w:w="1558" w:type="dxa"/>
          </w:tcPr>
          <w:p w:rsidR="00334A35" w:rsidRDefault="00334A35" w:rsidP="00334A35">
            <w:pPr>
              <w:pStyle w:val="TableParagraph"/>
              <w:spacing w:line="311" w:lineRule="exact"/>
              <w:rPr>
                <w:sz w:val="28"/>
              </w:rPr>
            </w:pPr>
            <w:r>
              <w:rPr>
                <w:sz w:val="28"/>
              </w:rPr>
              <w:t>12</w:t>
            </w:r>
            <w:r>
              <w:rPr>
                <w:spacing w:val="-5"/>
                <w:sz w:val="28"/>
              </w:rPr>
              <w:t xml:space="preserve"> </w:t>
            </w:r>
            <w:r>
              <w:rPr>
                <w:spacing w:val="-2"/>
                <w:sz w:val="28"/>
              </w:rPr>
              <w:t>300,3</w:t>
            </w:r>
          </w:p>
        </w:tc>
        <w:tc>
          <w:tcPr>
            <w:tcW w:w="1560" w:type="dxa"/>
          </w:tcPr>
          <w:p w:rsidR="00334A35" w:rsidRPr="003E0314" w:rsidRDefault="00334A35" w:rsidP="00334A35">
            <w:pPr>
              <w:pStyle w:val="TableParagraph"/>
              <w:spacing w:line="311" w:lineRule="exact"/>
              <w:rPr>
                <w:sz w:val="28"/>
                <w:lang w:val="ru-RU"/>
              </w:rPr>
            </w:pPr>
            <w:r>
              <w:rPr>
                <w:sz w:val="28"/>
                <w:lang w:val="ru-RU"/>
              </w:rPr>
              <w:t>83 127,13</w:t>
            </w:r>
          </w:p>
        </w:tc>
        <w:tc>
          <w:tcPr>
            <w:tcW w:w="1560" w:type="dxa"/>
          </w:tcPr>
          <w:p w:rsidR="00334A35" w:rsidRPr="003E0314" w:rsidRDefault="00334A35" w:rsidP="00334A35">
            <w:pPr>
              <w:pStyle w:val="TableParagraph"/>
              <w:spacing w:line="311" w:lineRule="exact"/>
              <w:rPr>
                <w:sz w:val="28"/>
                <w:lang w:val="ru-RU"/>
              </w:rPr>
            </w:pPr>
            <w:r>
              <w:rPr>
                <w:sz w:val="28"/>
                <w:lang w:val="ru-RU"/>
              </w:rPr>
              <w:t>10 985,3</w:t>
            </w:r>
          </w:p>
        </w:tc>
      </w:tr>
      <w:tr w:rsidR="00334A35" w:rsidTr="003471E7">
        <w:trPr>
          <w:trHeight w:val="321"/>
        </w:trPr>
        <w:tc>
          <w:tcPr>
            <w:tcW w:w="458" w:type="dxa"/>
          </w:tcPr>
          <w:p w:rsidR="00334A35" w:rsidRDefault="00334A35" w:rsidP="00334A35">
            <w:pPr>
              <w:pStyle w:val="TableParagraph"/>
              <w:spacing w:line="301" w:lineRule="exact"/>
              <w:ind w:left="119"/>
              <w:rPr>
                <w:sz w:val="28"/>
              </w:rPr>
            </w:pPr>
            <w:r>
              <w:rPr>
                <w:spacing w:val="-10"/>
                <w:sz w:val="28"/>
              </w:rPr>
              <w:t>4</w:t>
            </w:r>
          </w:p>
        </w:tc>
        <w:tc>
          <w:tcPr>
            <w:tcW w:w="1985" w:type="dxa"/>
          </w:tcPr>
          <w:p w:rsidR="00334A35" w:rsidRDefault="00334A35" w:rsidP="00334A35">
            <w:pPr>
              <w:pStyle w:val="TableParagraph"/>
              <w:spacing w:line="301" w:lineRule="exact"/>
              <w:ind w:left="120"/>
              <w:rPr>
                <w:sz w:val="28"/>
              </w:rPr>
            </w:pPr>
            <w:r>
              <w:rPr>
                <w:spacing w:val="-2"/>
                <w:sz w:val="28"/>
              </w:rPr>
              <w:t>Library</w:t>
            </w:r>
            <w:r>
              <w:rPr>
                <w:spacing w:val="-9"/>
                <w:sz w:val="28"/>
              </w:rPr>
              <w:t xml:space="preserve"> </w:t>
            </w:r>
            <w:r>
              <w:rPr>
                <w:spacing w:val="-4"/>
                <w:sz w:val="28"/>
              </w:rPr>
              <w:t>fund</w:t>
            </w:r>
          </w:p>
        </w:tc>
        <w:tc>
          <w:tcPr>
            <w:tcW w:w="1418" w:type="dxa"/>
          </w:tcPr>
          <w:p w:rsidR="00334A35" w:rsidRDefault="00334A35" w:rsidP="00334A35">
            <w:pPr>
              <w:pStyle w:val="TableParagraph"/>
              <w:spacing w:line="301" w:lineRule="exact"/>
              <w:ind w:left="118"/>
              <w:rPr>
                <w:sz w:val="28"/>
              </w:rPr>
            </w:pPr>
            <w:r>
              <w:rPr>
                <w:sz w:val="28"/>
              </w:rPr>
              <w:t>34</w:t>
            </w:r>
            <w:r>
              <w:rPr>
                <w:spacing w:val="-3"/>
                <w:sz w:val="28"/>
              </w:rPr>
              <w:t xml:space="preserve"> </w:t>
            </w:r>
            <w:r>
              <w:rPr>
                <w:spacing w:val="-2"/>
                <w:sz w:val="28"/>
              </w:rPr>
              <w:t>362,10</w:t>
            </w:r>
          </w:p>
        </w:tc>
        <w:tc>
          <w:tcPr>
            <w:tcW w:w="1560" w:type="dxa"/>
          </w:tcPr>
          <w:p w:rsidR="00334A35" w:rsidRDefault="00334A35" w:rsidP="00334A35">
            <w:pPr>
              <w:pStyle w:val="TableParagraph"/>
              <w:spacing w:line="301" w:lineRule="exact"/>
              <w:rPr>
                <w:sz w:val="28"/>
              </w:rPr>
            </w:pPr>
            <w:r>
              <w:rPr>
                <w:sz w:val="28"/>
              </w:rPr>
              <w:t>3</w:t>
            </w:r>
            <w:r>
              <w:rPr>
                <w:spacing w:val="-2"/>
                <w:sz w:val="28"/>
              </w:rPr>
              <w:t xml:space="preserve"> 441,76</w:t>
            </w:r>
          </w:p>
        </w:tc>
        <w:tc>
          <w:tcPr>
            <w:tcW w:w="1558" w:type="dxa"/>
          </w:tcPr>
          <w:p w:rsidR="00334A35" w:rsidRDefault="00334A35" w:rsidP="00334A35">
            <w:pPr>
              <w:pStyle w:val="TableParagraph"/>
              <w:spacing w:line="301" w:lineRule="exact"/>
              <w:rPr>
                <w:sz w:val="28"/>
              </w:rPr>
            </w:pPr>
            <w:r>
              <w:rPr>
                <w:sz w:val="28"/>
              </w:rPr>
              <w:t>45</w:t>
            </w:r>
            <w:r>
              <w:rPr>
                <w:spacing w:val="-5"/>
                <w:sz w:val="28"/>
              </w:rPr>
              <w:t xml:space="preserve"> </w:t>
            </w:r>
            <w:r>
              <w:rPr>
                <w:spacing w:val="-2"/>
                <w:sz w:val="28"/>
              </w:rPr>
              <w:t>345,0</w:t>
            </w:r>
          </w:p>
        </w:tc>
        <w:tc>
          <w:tcPr>
            <w:tcW w:w="1560" w:type="dxa"/>
          </w:tcPr>
          <w:p w:rsidR="00334A35" w:rsidRPr="003E0314" w:rsidRDefault="00334A35" w:rsidP="00334A35">
            <w:pPr>
              <w:pStyle w:val="TableParagraph"/>
              <w:spacing w:line="301" w:lineRule="exact"/>
              <w:rPr>
                <w:sz w:val="28"/>
                <w:lang w:val="ru-RU"/>
              </w:rPr>
            </w:pPr>
            <w:r>
              <w:rPr>
                <w:sz w:val="28"/>
                <w:lang w:val="ru-RU"/>
              </w:rPr>
              <w:t>33 093,90</w:t>
            </w:r>
          </w:p>
        </w:tc>
        <w:tc>
          <w:tcPr>
            <w:tcW w:w="1560" w:type="dxa"/>
          </w:tcPr>
          <w:p w:rsidR="00334A35" w:rsidRPr="003E0314" w:rsidRDefault="00334A35" w:rsidP="00334A35">
            <w:pPr>
              <w:pStyle w:val="TableParagraph"/>
              <w:spacing w:line="301" w:lineRule="exact"/>
              <w:rPr>
                <w:sz w:val="28"/>
                <w:lang w:val="ru-RU"/>
              </w:rPr>
            </w:pPr>
            <w:r>
              <w:rPr>
                <w:sz w:val="28"/>
                <w:lang w:val="ru-RU"/>
              </w:rPr>
              <w:t>218,9</w:t>
            </w:r>
          </w:p>
        </w:tc>
      </w:tr>
      <w:tr w:rsidR="00334A35" w:rsidTr="003471E7">
        <w:trPr>
          <w:trHeight w:val="602"/>
        </w:trPr>
        <w:tc>
          <w:tcPr>
            <w:tcW w:w="458" w:type="dxa"/>
          </w:tcPr>
          <w:p w:rsidR="00334A35" w:rsidRDefault="00334A35" w:rsidP="00334A35">
            <w:pPr>
              <w:pStyle w:val="TableParagraph"/>
              <w:spacing w:line="303" w:lineRule="exact"/>
              <w:ind w:left="119"/>
              <w:rPr>
                <w:sz w:val="28"/>
              </w:rPr>
            </w:pPr>
            <w:r>
              <w:rPr>
                <w:spacing w:val="-10"/>
                <w:sz w:val="28"/>
              </w:rPr>
              <w:t>5</w:t>
            </w:r>
          </w:p>
        </w:tc>
        <w:tc>
          <w:tcPr>
            <w:tcW w:w="1985" w:type="dxa"/>
          </w:tcPr>
          <w:p w:rsidR="00334A35" w:rsidRDefault="00334A35" w:rsidP="00334A35">
            <w:pPr>
              <w:pStyle w:val="TableParagraph"/>
              <w:ind w:left="120" w:right="291"/>
              <w:rPr>
                <w:sz w:val="28"/>
              </w:rPr>
            </w:pPr>
            <w:r>
              <w:rPr>
                <w:sz w:val="28"/>
              </w:rPr>
              <w:t>Other</w:t>
            </w:r>
            <w:r>
              <w:rPr>
                <w:spacing w:val="-3"/>
                <w:sz w:val="28"/>
              </w:rPr>
              <w:t xml:space="preserve"> </w:t>
            </w:r>
            <w:r>
              <w:rPr>
                <w:sz w:val="28"/>
              </w:rPr>
              <w:t xml:space="preserve">and </w:t>
            </w:r>
            <w:r>
              <w:rPr>
                <w:spacing w:val="-6"/>
                <w:sz w:val="28"/>
              </w:rPr>
              <w:t>technique</w:t>
            </w:r>
          </w:p>
        </w:tc>
        <w:tc>
          <w:tcPr>
            <w:tcW w:w="1418" w:type="dxa"/>
          </w:tcPr>
          <w:p w:rsidR="00334A35" w:rsidRDefault="00334A35" w:rsidP="00334A35">
            <w:pPr>
              <w:pStyle w:val="TableParagraph"/>
              <w:spacing w:line="303" w:lineRule="exact"/>
              <w:ind w:left="118"/>
              <w:rPr>
                <w:sz w:val="28"/>
              </w:rPr>
            </w:pPr>
            <w:r>
              <w:rPr>
                <w:sz w:val="28"/>
              </w:rPr>
              <w:t>40</w:t>
            </w:r>
            <w:r>
              <w:rPr>
                <w:spacing w:val="-3"/>
                <w:sz w:val="28"/>
              </w:rPr>
              <w:t xml:space="preserve"> </w:t>
            </w:r>
            <w:r>
              <w:rPr>
                <w:spacing w:val="-2"/>
                <w:sz w:val="28"/>
              </w:rPr>
              <w:t>175,61</w:t>
            </w:r>
          </w:p>
        </w:tc>
        <w:tc>
          <w:tcPr>
            <w:tcW w:w="1560" w:type="dxa"/>
          </w:tcPr>
          <w:p w:rsidR="00334A35" w:rsidRDefault="00334A35" w:rsidP="00334A35">
            <w:pPr>
              <w:pStyle w:val="TableParagraph"/>
              <w:spacing w:line="303" w:lineRule="exact"/>
              <w:rPr>
                <w:sz w:val="28"/>
              </w:rPr>
            </w:pPr>
            <w:r>
              <w:rPr>
                <w:sz w:val="28"/>
              </w:rPr>
              <w:t>70</w:t>
            </w:r>
            <w:r>
              <w:rPr>
                <w:spacing w:val="-3"/>
                <w:sz w:val="28"/>
              </w:rPr>
              <w:t xml:space="preserve"> </w:t>
            </w:r>
            <w:r>
              <w:rPr>
                <w:spacing w:val="-2"/>
                <w:sz w:val="28"/>
              </w:rPr>
              <w:t>988,40</w:t>
            </w:r>
          </w:p>
        </w:tc>
        <w:tc>
          <w:tcPr>
            <w:tcW w:w="1558" w:type="dxa"/>
          </w:tcPr>
          <w:p w:rsidR="00334A35" w:rsidRDefault="00334A35" w:rsidP="00334A35">
            <w:pPr>
              <w:pStyle w:val="TableParagraph"/>
              <w:spacing w:line="303" w:lineRule="exact"/>
              <w:rPr>
                <w:sz w:val="28"/>
              </w:rPr>
            </w:pPr>
            <w:r>
              <w:rPr>
                <w:sz w:val="28"/>
              </w:rPr>
              <w:t>151</w:t>
            </w:r>
            <w:r>
              <w:rPr>
                <w:spacing w:val="-8"/>
                <w:sz w:val="28"/>
              </w:rPr>
              <w:t xml:space="preserve"> </w:t>
            </w:r>
            <w:r>
              <w:rPr>
                <w:spacing w:val="-2"/>
                <w:sz w:val="28"/>
              </w:rPr>
              <w:t>511,4</w:t>
            </w:r>
          </w:p>
        </w:tc>
        <w:tc>
          <w:tcPr>
            <w:tcW w:w="1560" w:type="dxa"/>
          </w:tcPr>
          <w:p w:rsidR="00334A35" w:rsidRPr="003E0314" w:rsidRDefault="00334A35" w:rsidP="00334A35">
            <w:pPr>
              <w:pStyle w:val="TableParagraph"/>
              <w:spacing w:line="303" w:lineRule="exact"/>
              <w:rPr>
                <w:sz w:val="28"/>
                <w:lang w:val="ru-RU"/>
              </w:rPr>
            </w:pPr>
            <w:r>
              <w:rPr>
                <w:sz w:val="28"/>
                <w:lang w:val="ru-RU"/>
              </w:rPr>
              <w:t>26 757,82</w:t>
            </w:r>
          </w:p>
        </w:tc>
        <w:tc>
          <w:tcPr>
            <w:tcW w:w="1560" w:type="dxa"/>
          </w:tcPr>
          <w:p w:rsidR="00334A35" w:rsidRPr="003E0314" w:rsidRDefault="00334A35" w:rsidP="00334A35">
            <w:pPr>
              <w:pStyle w:val="TableParagraph"/>
              <w:spacing w:line="303" w:lineRule="exact"/>
              <w:rPr>
                <w:sz w:val="28"/>
                <w:lang w:val="ru-RU"/>
              </w:rPr>
            </w:pPr>
            <w:r>
              <w:rPr>
                <w:sz w:val="28"/>
                <w:lang w:val="ru-RU"/>
              </w:rPr>
              <w:t>80 009,3</w:t>
            </w:r>
          </w:p>
        </w:tc>
      </w:tr>
      <w:tr w:rsidR="00334A35" w:rsidTr="003471E7">
        <w:trPr>
          <w:trHeight w:val="642"/>
        </w:trPr>
        <w:tc>
          <w:tcPr>
            <w:tcW w:w="458" w:type="dxa"/>
          </w:tcPr>
          <w:p w:rsidR="00334A35" w:rsidRDefault="00334A35" w:rsidP="00334A35">
            <w:pPr>
              <w:pStyle w:val="TableParagraph"/>
              <w:spacing w:line="312" w:lineRule="exact"/>
              <w:ind w:left="119"/>
              <w:rPr>
                <w:sz w:val="28"/>
              </w:rPr>
            </w:pPr>
            <w:r>
              <w:rPr>
                <w:spacing w:val="-10"/>
                <w:sz w:val="28"/>
              </w:rPr>
              <w:t>6</w:t>
            </w:r>
          </w:p>
        </w:tc>
        <w:tc>
          <w:tcPr>
            <w:tcW w:w="1985" w:type="dxa"/>
          </w:tcPr>
          <w:p w:rsidR="00334A35" w:rsidRDefault="00334A35" w:rsidP="00334A35">
            <w:pPr>
              <w:pStyle w:val="TableParagraph"/>
              <w:spacing w:line="228" w:lineRule="auto"/>
              <w:ind w:left="120" w:right="291"/>
              <w:rPr>
                <w:sz w:val="28"/>
              </w:rPr>
            </w:pPr>
            <w:r>
              <w:rPr>
                <w:spacing w:val="-2"/>
                <w:sz w:val="28"/>
              </w:rPr>
              <w:t>Reading</w:t>
            </w:r>
            <w:r>
              <w:rPr>
                <w:spacing w:val="-23"/>
                <w:sz w:val="28"/>
              </w:rPr>
              <w:t xml:space="preserve"> </w:t>
            </w:r>
            <w:r>
              <w:rPr>
                <w:spacing w:val="-2"/>
                <w:sz w:val="28"/>
              </w:rPr>
              <w:t>furniture for the office</w:t>
            </w:r>
          </w:p>
        </w:tc>
        <w:tc>
          <w:tcPr>
            <w:tcW w:w="1418" w:type="dxa"/>
          </w:tcPr>
          <w:p w:rsidR="00334A35" w:rsidRDefault="00334A35" w:rsidP="00334A35">
            <w:pPr>
              <w:pStyle w:val="TableParagraph"/>
              <w:spacing w:line="312" w:lineRule="exact"/>
              <w:ind w:left="118"/>
              <w:rPr>
                <w:sz w:val="28"/>
              </w:rPr>
            </w:pPr>
            <w:r>
              <w:rPr>
                <w:sz w:val="28"/>
              </w:rPr>
              <w:t>2</w:t>
            </w:r>
            <w:r>
              <w:rPr>
                <w:spacing w:val="-2"/>
                <w:sz w:val="28"/>
              </w:rPr>
              <w:t xml:space="preserve"> 170,56</w:t>
            </w:r>
          </w:p>
        </w:tc>
        <w:tc>
          <w:tcPr>
            <w:tcW w:w="1560" w:type="dxa"/>
          </w:tcPr>
          <w:p w:rsidR="00334A35" w:rsidRDefault="00334A35" w:rsidP="00334A35">
            <w:pPr>
              <w:pStyle w:val="TableParagraph"/>
              <w:spacing w:line="312" w:lineRule="exact"/>
              <w:rPr>
                <w:sz w:val="28"/>
              </w:rPr>
            </w:pPr>
          </w:p>
        </w:tc>
        <w:tc>
          <w:tcPr>
            <w:tcW w:w="1558" w:type="dxa"/>
          </w:tcPr>
          <w:p w:rsidR="00334A35" w:rsidRDefault="00334A35" w:rsidP="00334A35">
            <w:pPr>
              <w:pStyle w:val="TableParagraph"/>
              <w:spacing w:line="312" w:lineRule="exact"/>
              <w:rPr>
                <w:sz w:val="28"/>
              </w:rPr>
            </w:pPr>
            <w:r>
              <w:rPr>
                <w:sz w:val="28"/>
              </w:rPr>
              <w:t>27</w:t>
            </w:r>
            <w:r>
              <w:rPr>
                <w:spacing w:val="-5"/>
                <w:sz w:val="28"/>
              </w:rPr>
              <w:t xml:space="preserve"> </w:t>
            </w:r>
            <w:r>
              <w:rPr>
                <w:spacing w:val="-2"/>
                <w:sz w:val="28"/>
              </w:rPr>
              <w:t>226,4</w:t>
            </w:r>
          </w:p>
        </w:tc>
        <w:tc>
          <w:tcPr>
            <w:tcW w:w="1560" w:type="dxa"/>
          </w:tcPr>
          <w:p w:rsidR="00334A35" w:rsidRPr="003E0314" w:rsidRDefault="00334A35" w:rsidP="00334A35">
            <w:pPr>
              <w:pStyle w:val="TableParagraph"/>
              <w:spacing w:line="312" w:lineRule="exact"/>
              <w:rPr>
                <w:sz w:val="28"/>
                <w:lang w:val="ru-RU"/>
              </w:rPr>
            </w:pPr>
            <w:r>
              <w:rPr>
                <w:sz w:val="28"/>
                <w:lang w:val="ru-RU"/>
              </w:rPr>
              <w:t>55 842,60</w:t>
            </w:r>
          </w:p>
        </w:tc>
        <w:tc>
          <w:tcPr>
            <w:tcW w:w="1560" w:type="dxa"/>
          </w:tcPr>
          <w:p w:rsidR="00334A35" w:rsidRPr="003E0314" w:rsidRDefault="00334A35" w:rsidP="00334A35">
            <w:pPr>
              <w:pStyle w:val="TableParagraph"/>
              <w:spacing w:line="312" w:lineRule="exact"/>
              <w:rPr>
                <w:sz w:val="28"/>
                <w:lang w:val="ru-RU"/>
              </w:rPr>
            </w:pPr>
            <w:r>
              <w:rPr>
                <w:sz w:val="28"/>
                <w:lang w:val="ru-RU"/>
              </w:rPr>
              <w:t>22 884,8</w:t>
            </w:r>
          </w:p>
        </w:tc>
      </w:tr>
      <w:tr w:rsidR="00334A35" w:rsidTr="003471E7">
        <w:trPr>
          <w:trHeight w:val="321"/>
        </w:trPr>
        <w:tc>
          <w:tcPr>
            <w:tcW w:w="458" w:type="dxa"/>
          </w:tcPr>
          <w:p w:rsidR="00334A35" w:rsidRDefault="00334A35" w:rsidP="00334A35">
            <w:pPr>
              <w:pStyle w:val="TableParagraph"/>
              <w:spacing w:line="240" w:lineRule="auto"/>
              <w:ind w:left="0"/>
              <w:rPr>
                <w:sz w:val="24"/>
              </w:rPr>
            </w:pPr>
          </w:p>
        </w:tc>
        <w:tc>
          <w:tcPr>
            <w:tcW w:w="1985" w:type="dxa"/>
          </w:tcPr>
          <w:p w:rsidR="00334A35" w:rsidRDefault="00334A35" w:rsidP="00334A35">
            <w:pPr>
              <w:pStyle w:val="TableParagraph"/>
              <w:ind w:left="120"/>
              <w:rPr>
                <w:b/>
                <w:sz w:val="28"/>
              </w:rPr>
            </w:pPr>
            <w:r>
              <w:rPr>
                <w:b/>
                <w:spacing w:val="-2"/>
                <w:sz w:val="28"/>
              </w:rPr>
              <w:t>Everything</w:t>
            </w:r>
          </w:p>
        </w:tc>
        <w:tc>
          <w:tcPr>
            <w:tcW w:w="1418" w:type="dxa"/>
          </w:tcPr>
          <w:p w:rsidR="00334A35" w:rsidRDefault="00334A35" w:rsidP="00334A35">
            <w:pPr>
              <w:pStyle w:val="TableParagraph"/>
              <w:ind w:left="118"/>
              <w:rPr>
                <w:b/>
                <w:sz w:val="28"/>
              </w:rPr>
            </w:pPr>
            <w:r>
              <w:rPr>
                <w:b/>
                <w:sz w:val="28"/>
              </w:rPr>
              <w:t>220</w:t>
            </w:r>
            <w:r>
              <w:rPr>
                <w:b/>
                <w:spacing w:val="-11"/>
                <w:sz w:val="28"/>
              </w:rPr>
              <w:t xml:space="preserve"> </w:t>
            </w:r>
            <w:r>
              <w:rPr>
                <w:b/>
                <w:spacing w:val="-2"/>
                <w:sz w:val="28"/>
              </w:rPr>
              <w:t>206,41</w:t>
            </w:r>
          </w:p>
        </w:tc>
        <w:tc>
          <w:tcPr>
            <w:tcW w:w="1560" w:type="dxa"/>
          </w:tcPr>
          <w:p w:rsidR="00334A35" w:rsidRDefault="00334A35" w:rsidP="00334A35">
            <w:pPr>
              <w:pStyle w:val="TableParagraph"/>
              <w:rPr>
                <w:b/>
                <w:sz w:val="28"/>
              </w:rPr>
            </w:pPr>
            <w:r>
              <w:rPr>
                <w:b/>
                <w:sz w:val="28"/>
              </w:rPr>
              <w:t>325</w:t>
            </w:r>
            <w:r>
              <w:rPr>
                <w:b/>
                <w:spacing w:val="-11"/>
                <w:sz w:val="28"/>
              </w:rPr>
              <w:t xml:space="preserve"> </w:t>
            </w:r>
            <w:r>
              <w:rPr>
                <w:b/>
                <w:spacing w:val="-2"/>
                <w:sz w:val="28"/>
              </w:rPr>
              <w:t>490,77</w:t>
            </w:r>
          </w:p>
        </w:tc>
        <w:tc>
          <w:tcPr>
            <w:tcW w:w="1558" w:type="dxa"/>
          </w:tcPr>
          <w:p w:rsidR="00334A35" w:rsidRDefault="00334A35" w:rsidP="00334A35">
            <w:pPr>
              <w:pStyle w:val="TableParagraph"/>
              <w:rPr>
                <w:b/>
                <w:sz w:val="28"/>
              </w:rPr>
            </w:pPr>
            <w:r>
              <w:rPr>
                <w:b/>
                <w:sz w:val="28"/>
              </w:rPr>
              <w:t>280</w:t>
            </w:r>
            <w:r>
              <w:rPr>
                <w:b/>
                <w:spacing w:val="-8"/>
                <w:sz w:val="28"/>
              </w:rPr>
              <w:t xml:space="preserve"> </w:t>
            </w:r>
            <w:r>
              <w:rPr>
                <w:b/>
                <w:spacing w:val="-2"/>
                <w:sz w:val="28"/>
              </w:rPr>
              <w:t>391,8</w:t>
            </w:r>
          </w:p>
        </w:tc>
        <w:tc>
          <w:tcPr>
            <w:tcW w:w="1560" w:type="dxa"/>
          </w:tcPr>
          <w:p w:rsidR="00334A35" w:rsidRPr="003E0314" w:rsidRDefault="00334A35" w:rsidP="00334A35">
            <w:pPr>
              <w:pStyle w:val="TableParagraph"/>
              <w:rPr>
                <w:b/>
                <w:sz w:val="28"/>
                <w:lang w:val="ru-RU"/>
              </w:rPr>
            </w:pPr>
            <w:r>
              <w:rPr>
                <w:b/>
                <w:sz w:val="28"/>
                <w:lang w:val="ru-RU"/>
              </w:rPr>
              <w:t>218 793,77</w:t>
            </w:r>
          </w:p>
        </w:tc>
        <w:tc>
          <w:tcPr>
            <w:tcW w:w="1560" w:type="dxa"/>
          </w:tcPr>
          <w:p w:rsidR="00334A35" w:rsidRPr="003E0314" w:rsidRDefault="00334A35" w:rsidP="00334A35">
            <w:pPr>
              <w:pStyle w:val="TableParagraph"/>
              <w:rPr>
                <w:b/>
                <w:sz w:val="28"/>
                <w:lang w:val="ru-RU"/>
              </w:rPr>
            </w:pPr>
            <w:r>
              <w:rPr>
                <w:b/>
                <w:sz w:val="28"/>
                <w:lang w:val="ru-RU"/>
              </w:rPr>
              <w:t>259 776,6</w:t>
            </w:r>
          </w:p>
        </w:tc>
      </w:tr>
    </w:tbl>
    <w:p w:rsidR="0037496A" w:rsidRDefault="0037496A">
      <w:pPr>
        <w:pStyle w:val="a3"/>
        <w:spacing w:before="185"/>
        <w:ind w:left="0"/>
        <w:jc w:val="left"/>
        <w:rPr>
          <w:b/>
        </w:rPr>
      </w:pPr>
    </w:p>
    <w:p w:rsidR="0037496A" w:rsidRDefault="00C84A3F">
      <w:pPr>
        <w:pStyle w:val="a3"/>
        <w:ind w:right="717" w:firstLine="705"/>
      </w:pPr>
      <w:r>
        <w:t xml:space="preserve">In the structure of the university, 2 (two) institutes located in the cities of </w:t>
      </w:r>
      <w:proofErr w:type="spellStart"/>
      <w:r>
        <w:t>Shymkent</w:t>
      </w:r>
      <w:proofErr w:type="spellEnd"/>
      <w:r>
        <w:t xml:space="preserve"> and </w:t>
      </w:r>
      <w:proofErr w:type="spellStart"/>
      <w:r>
        <w:t>Kentau</w:t>
      </w:r>
      <w:proofErr w:type="spellEnd"/>
      <w:r>
        <w:t xml:space="preserve"> are branches of a single educational cycle, 6 (six) research institutes that form the basis of the university's scientific potential and carry out scientific research on state grants along with teaching activities.</w:t>
      </w:r>
    </w:p>
    <w:p w:rsidR="0037496A" w:rsidRDefault="00C84A3F">
      <w:pPr>
        <w:pStyle w:val="a3"/>
        <w:spacing w:before="3"/>
        <w:ind w:right="713" w:firstLine="705"/>
      </w:pPr>
      <w:r>
        <w:t>Gasification of the University will reduce utility costs 15-</w:t>
      </w:r>
      <w:r>
        <w:rPr>
          <w:spacing w:val="40"/>
        </w:rPr>
        <w:t xml:space="preserve"> </w:t>
      </w:r>
      <w:r>
        <w:t>reduced from 17% to 4-7%. The university's own diesel-fired boiler provides heating for all academic and administrative buildings of the university</w:t>
      </w:r>
      <w:r>
        <w:rPr>
          <w:spacing w:val="-4"/>
        </w:rPr>
        <w:t xml:space="preserve"> </w:t>
      </w:r>
      <w:r>
        <w:t>there is a farm, a reserve depot for electricity in case of a power outage</w:t>
      </w:r>
      <w:r>
        <w:rPr>
          <w:spacing w:val="80"/>
        </w:rPr>
        <w:t xml:space="preserve"> </w:t>
      </w:r>
      <w:r>
        <w:t>- there is a substation. Communication service, if the university has a telephone switching station, helps to establish successful contacts with foreign partners. That is, all the conditions have been created for proper performance of the assigned tasks.</w:t>
      </w:r>
    </w:p>
    <w:p w:rsidR="0037496A" w:rsidRDefault="00C84A3F">
      <w:pPr>
        <w:pStyle w:val="a3"/>
        <w:spacing w:before="2"/>
        <w:ind w:right="732" w:firstLine="988"/>
      </w:pPr>
      <w:r>
        <w:t>The university owns a large automobile fleet with a total of 51 (</w:t>
      </w:r>
      <w:proofErr w:type="gramStart"/>
      <w:r>
        <w:t>fifty one</w:t>
      </w:r>
      <w:proofErr w:type="gramEnd"/>
      <w:r>
        <w:t>) units.</w:t>
      </w: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C84A3F" w:rsidRDefault="00C84A3F">
      <w:pPr>
        <w:pStyle w:val="a3"/>
        <w:spacing w:before="2"/>
        <w:ind w:right="732" w:firstLine="988"/>
      </w:pPr>
    </w:p>
    <w:p w:rsidR="0037496A" w:rsidRDefault="00C84A3F" w:rsidP="00C84A3F">
      <w:pPr>
        <w:pStyle w:val="a3"/>
        <w:spacing w:before="61"/>
        <w:ind w:left="0" w:right="720"/>
      </w:pPr>
      <w:r>
        <w:lastRenderedPageBreak/>
        <w:t>allows you to work without using transport services. Work suitable for employees of university services and departments</w:t>
      </w:r>
      <w:r>
        <w:rPr>
          <w:spacing w:val="80"/>
        </w:rPr>
        <w:t xml:space="preserve"> </w:t>
      </w:r>
      <w:r>
        <w:t xml:space="preserve">Equipping workplaces is carried out annually to ensure conditions. Table 3 provides information on the purchase of material assets for university </w:t>
      </w:r>
      <w:r w:rsidR="00334A35">
        <w:t>services and departments in 2020</w:t>
      </w:r>
      <w:r>
        <w:t>-202</w:t>
      </w:r>
      <w:r w:rsidR="00334A35">
        <w:rPr>
          <w:lang w:val="kk-KZ"/>
        </w:rPr>
        <w:t>4</w:t>
      </w:r>
      <w:r>
        <w:t xml:space="preserve"> below:</w:t>
      </w:r>
    </w:p>
    <w:p w:rsidR="0037496A" w:rsidRDefault="00C84A3F">
      <w:pPr>
        <w:pStyle w:val="1"/>
        <w:spacing w:before="18"/>
        <w:ind w:left="2850" w:right="0"/>
        <w:jc w:val="both"/>
      </w:pPr>
      <w:bookmarkStart w:id="4" w:name="Кесте_3._Деректер_мың_теңгемен"/>
      <w:bookmarkEnd w:id="4"/>
      <w:r>
        <w:t>Table</w:t>
      </w:r>
      <w:r>
        <w:rPr>
          <w:spacing w:val="-16"/>
        </w:rPr>
        <w:t xml:space="preserve"> </w:t>
      </w:r>
      <w:r>
        <w:t>3.</w:t>
      </w:r>
      <w:r>
        <w:rPr>
          <w:spacing w:val="-14"/>
        </w:rPr>
        <w:t xml:space="preserve"> </w:t>
      </w:r>
      <w:r>
        <w:t>Data</w:t>
      </w:r>
      <w:r>
        <w:rPr>
          <w:spacing w:val="-16"/>
        </w:rPr>
        <w:t xml:space="preserve"> </w:t>
      </w:r>
      <w:r>
        <w:t>thousand</w:t>
      </w:r>
      <w:r>
        <w:rPr>
          <w:spacing w:val="-16"/>
        </w:rPr>
        <w:t xml:space="preserve"> </w:t>
      </w:r>
      <w:r>
        <w:rPr>
          <w:spacing w:val="-2"/>
        </w:rPr>
        <w:t xml:space="preserve">in </w:t>
      </w:r>
      <w:proofErr w:type="spellStart"/>
      <w:r>
        <w:rPr>
          <w:spacing w:val="-2"/>
        </w:rPr>
        <w:t>tenge</w:t>
      </w:r>
      <w:proofErr w:type="spellEnd"/>
    </w:p>
    <w:p w:rsidR="0037496A" w:rsidRDefault="0037496A">
      <w:pPr>
        <w:pStyle w:val="a3"/>
        <w:spacing w:before="10"/>
        <w:ind w:left="0"/>
        <w:jc w:val="left"/>
        <w:rPr>
          <w:b/>
          <w:sz w:val="1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908"/>
        <w:gridCol w:w="1415"/>
        <w:gridCol w:w="1418"/>
        <w:gridCol w:w="1417"/>
        <w:gridCol w:w="1418"/>
        <w:gridCol w:w="1413"/>
      </w:tblGrid>
      <w:tr w:rsidR="0037496A" w:rsidTr="00334A35">
        <w:trPr>
          <w:trHeight w:val="326"/>
        </w:trPr>
        <w:tc>
          <w:tcPr>
            <w:tcW w:w="679" w:type="dxa"/>
          </w:tcPr>
          <w:p w:rsidR="0037496A" w:rsidRDefault="00C84A3F">
            <w:pPr>
              <w:pStyle w:val="TableParagraph"/>
              <w:spacing w:line="305" w:lineRule="exact"/>
              <w:ind w:left="47" w:right="8"/>
              <w:jc w:val="center"/>
              <w:rPr>
                <w:b/>
                <w:sz w:val="28"/>
              </w:rPr>
            </w:pPr>
            <w:r>
              <w:rPr>
                <w:b/>
                <w:spacing w:val="-10"/>
                <w:sz w:val="28"/>
              </w:rPr>
              <w:t>No</w:t>
            </w:r>
          </w:p>
        </w:tc>
        <w:tc>
          <w:tcPr>
            <w:tcW w:w="1908" w:type="dxa"/>
          </w:tcPr>
          <w:p w:rsidR="0037496A" w:rsidRDefault="00C84A3F">
            <w:pPr>
              <w:pStyle w:val="TableParagraph"/>
              <w:spacing w:line="305" w:lineRule="exact"/>
              <w:ind w:left="847"/>
              <w:rPr>
                <w:b/>
                <w:sz w:val="28"/>
              </w:rPr>
            </w:pPr>
            <w:r>
              <w:rPr>
                <w:b/>
                <w:spacing w:val="-2"/>
                <w:sz w:val="28"/>
              </w:rPr>
              <w:t>Name</w:t>
            </w:r>
          </w:p>
        </w:tc>
        <w:tc>
          <w:tcPr>
            <w:tcW w:w="1415" w:type="dxa"/>
          </w:tcPr>
          <w:p w:rsidR="0037496A" w:rsidRDefault="00C84A3F">
            <w:pPr>
              <w:pStyle w:val="TableParagraph"/>
              <w:spacing w:line="305" w:lineRule="exact"/>
              <w:ind w:left="37" w:right="11"/>
              <w:jc w:val="center"/>
              <w:rPr>
                <w:b/>
                <w:sz w:val="28"/>
              </w:rPr>
            </w:pPr>
            <w:r>
              <w:rPr>
                <w:b/>
                <w:spacing w:val="-4"/>
                <w:sz w:val="28"/>
              </w:rPr>
              <w:t>2020</w:t>
            </w:r>
          </w:p>
        </w:tc>
        <w:tc>
          <w:tcPr>
            <w:tcW w:w="1418" w:type="dxa"/>
          </w:tcPr>
          <w:p w:rsidR="0037496A" w:rsidRDefault="00C84A3F">
            <w:pPr>
              <w:pStyle w:val="TableParagraph"/>
              <w:spacing w:line="305" w:lineRule="exact"/>
              <w:ind w:left="104" w:right="78"/>
              <w:jc w:val="center"/>
              <w:rPr>
                <w:b/>
                <w:sz w:val="28"/>
              </w:rPr>
            </w:pPr>
            <w:r>
              <w:rPr>
                <w:b/>
                <w:spacing w:val="-4"/>
                <w:sz w:val="28"/>
              </w:rPr>
              <w:t>2021</w:t>
            </w:r>
          </w:p>
        </w:tc>
        <w:tc>
          <w:tcPr>
            <w:tcW w:w="1417" w:type="dxa"/>
          </w:tcPr>
          <w:p w:rsidR="0037496A" w:rsidRDefault="00C84A3F" w:rsidP="00C84A3F">
            <w:pPr>
              <w:pStyle w:val="TableParagraph"/>
              <w:spacing w:line="305" w:lineRule="exact"/>
              <w:ind w:left="40" w:right="4"/>
              <w:jc w:val="center"/>
              <w:rPr>
                <w:b/>
                <w:sz w:val="28"/>
              </w:rPr>
            </w:pPr>
            <w:r>
              <w:rPr>
                <w:b/>
                <w:spacing w:val="-4"/>
                <w:sz w:val="28"/>
              </w:rPr>
              <w:t>2022</w:t>
            </w:r>
          </w:p>
        </w:tc>
        <w:tc>
          <w:tcPr>
            <w:tcW w:w="1418" w:type="dxa"/>
          </w:tcPr>
          <w:p w:rsidR="0037496A" w:rsidRDefault="00C84A3F">
            <w:pPr>
              <w:pStyle w:val="TableParagraph"/>
              <w:spacing w:line="305" w:lineRule="exact"/>
              <w:ind w:left="45" w:right="6"/>
              <w:jc w:val="center"/>
              <w:rPr>
                <w:b/>
                <w:sz w:val="28"/>
              </w:rPr>
            </w:pPr>
            <w:r>
              <w:rPr>
                <w:b/>
                <w:spacing w:val="-4"/>
                <w:sz w:val="28"/>
              </w:rPr>
              <w:t>2023</w:t>
            </w:r>
          </w:p>
        </w:tc>
        <w:tc>
          <w:tcPr>
            <w:tcW w:w="1413" w:type="dxa"/>
          </w:tcPr>
          <w:p w:rsidR="0037496A" w:rsidRDefault="00C84A3F">
            <w:pPr>
              <w:pStyle w:val="TableParagraph"/>
              <w:spacing w:line="305" w:lineRule="exact"/>
              <w:ind w:left="20" w:right="4"/>
              <w:jc w:val="center"/>
              <w:rPr>
                <w:b/>
                <w:sz w:val="28"/>
              </w:rPr>
            </w:pPr>
            <w:r>
              <w:rPr>
                <w:b/>
                <w:spacing w:val="-4"/>
                <w:sz w:val="28"/>
              </w:rPr>
              <w:t>2024</w:t>
            </w:r>
          </w:p>
        </w:tc>
      </w:tr>
      <w:tr w:rsidR="00334A35" w:rsidTr="00334A35">
        <w:trPr>
          <w:trHeight w:val="640"/>
        </w:trPr>
        <w:tc>
          <w:tcPr>
            <w:tcW w:w="679" w:type="dxa"/>
          </w:tcPr>
          <w:p w:rsidR="00334A35" w:rsidRDefault="00334A35" w:rsidP="00334A35">
            <w:pPr>
              <w:pStyle w:val="TableParagraph"/>
              <w:spacing w:line="310" w:lineRule="exact"/>
              <w:ind w:left="47"/>
              <w:jc w:val="center"/>
              <w:rPr>
                <w:sz w:val="28"/>
              </w:rPr>
            </w:pPr>
            <w:r>
              <w:rPr>
                <w:spacing w:val="-10"/>
                <w:sz w:val="28"/>
              </w:rPr>
              <w:t>1</w:t>
            </w:r>
          </w:p>
        </w:tc>
        <w:tc>
          <w:tcPr>
            <w:tcW w:w="1908" w:type="dxa"/>
          </w:tcPr>
          <w:p w:rsidR="00334A35" w:rsidRDefault="00334A35" w:rsidP="00334A35">
            <w:pPr>
              <w:pStyle w:val="TableParagraph"/>
              <w:spacing w:line="230" w:lineRule="auto"/>
              <w:ind w:left="117"/>
              <w:rPr>
                <w:sz w:val="28"/>
              </w:rPr>
            </w:pPr>
            <w:r>
              <w:rPr>
                <w:spacing w:val="-6"/>
                <w:sz w:val="28"/>
              </w:rPr>
              <w:t xml:space="preserve">Household </w:t>
            </w:r>
            <w:r>
              <w:rPr>
                <w:spacing w:val="-2"/>
                <w:sz w:val="28"/>
              </w:rPr>
              <w:t>appliances</w:t>
            </w:r>
          </w:p>
        </w:tc>
        <w:tc>
          <w:tcPr>
            <w:tcW w:w="1415" w:type="dxa"/>
          </w:tcPr>
          <w:p w:rsidR="00334A35" w:rsidRDefault="00334A35" w:rsidP="00334A35">
            <w:pPr>
              <w:pStyle w:val="TableParagraph"/>
              <w:spacing w:line="310" w:lineRule="exact"/>
              <w:ind w:left="40"/>
              <w:jc w:val="center"/>
              <w:rPr>
                <w:sz w:val="28"/>
              </w:rPr>
            </w:pPr>
            <w:r>
              <w:rPr>
                <w:sz w:val="28"/>
              </w:rPr>
              <w:t>12</w:t>
            </w:r>
            <w:r>
              <w:rPr>
                <w:spacing w:val="-1"/>
                <w:sz w:val="28"/>
              </w:rPr>
              <w:t xml:space="preserve"> </w:t>
            </w:r>
            <w:r>
              <w:rPr>
                <w:spacing w:val="-2"/>
                <w:sz w:val="28"/>
              </w:rPr>
              <w:t>932,98</w:t>
            </w:r>
          </w:p>
        </w:tc>
        <w:tc>
          <w:tcPr>
            <w:tcW w:w="1418" w:type="dxa"/>
          </w:tcPr>
          <w:p w:rsidR="00334A35" w:rsidRDefault="00334A35" w:rsidP="00334A35">
            <w:pPr>
              <w:pStyle w:val="TableParagraph"/>
              <w:spacing w:line="310" w:lineRule="exact"/>
              <w:ind w:left="45"/>
              <w:jc w:val="center"/>
              <w:rPr>
                <w:sz w:val="28"/>
              </w:rPr>
            </w:pPr>
            <w:r>
              <w:rPr>
                <w:sz w:val="28"/>
              </w:rPr>
              <w:t>26</w:t>
            </w:r>
            <w:r>
              <w:rPr>
                <w:spacing w:val="-3"/>
                <w:sz w:val="28"/>
              </w:rPr>
              <w:t xml:space="preserve"> </w:t>
            </w:r>
            <w:r>
              <w:rPr>
                <w:spacing w:val="-2"/>
                <w:sz w:val="28"/>
              </w:rPr>
              <w:t>262,86</w:t>
            </w:r>
          </w:p>
        </w:tc>
        <w:tc>
          <w:tcPr>
            <w:tcW w:w="1417" w:type="dxa"/>
          </w:tcPr>
          <w:p w:rsidR="00334A35" w:rsidRDefault="00334A35" w:rsidP="00334A35">
            <w:pPr>
              <w:pStyle w:val="TableParagraph"/>
              <w:spacing w:line="310" w:lineRule="exact"/>
              <w:ind w:left="20" w:right="1"/>
              <w:jc w:val="center"/>
              <w:rPr>
                <w:sz w:val="28"/>
              </w:rPr>
            </w:pPr>
            <w:r>
              <w:rPr>
                <w:sz w:val="28"/>
              </w:rPr>
              <w:t>24</w:t>
            </w:r>
            <w:r>
              <w:rPr>
                <w:spacing w:val="-5"/>
                <w:sz w:val="28"/>
              </w:rPr>
              <w:t xml:space="preserve"> </w:t>
            </w:r>
            <w:r>
              <w:rPr>
                <w:spacing w:val="-2"/>
                <w:sz w:val="28"/>
              </w:rPr>
              <w:t>267,10</w:t>
            </w:r>
          </w:p>
        </w:tc>
        <w:tc>
          <w:tcPr>
            <w:tcW w:w="1418" w:type="dxa"/>
          </w:tcPr>
          <w:p w:rsidR="00334A35" w:rsidRPr="00E75BB9" w:rsidRDefault="00334A35" w:rsidP="00334A35">
            <w:pPr>
              <w:pStyle w:val="TableParagraph"/>
              <w:spacing w:line="310" w:lineRule="exact"/>
              <w:ind w:left="45"/>
              <w:jc w:val="center"/>
              <w:rPr>
                <w:sz w:val="28"/>
                <w:lang w:val="ru-RU"/>
              </w:rPr>
            </w:pPr>
            <w:r>
              <w:rPr>
                <w:sz w:val="28"/>
                <w:lang w:val="ru-RU"/>
              </w:rPr>
              <w:t>19 804,51</w:t>
            </w:r>
          </w:p>
        </w:tc>
        <w:tc>
          <w:tcPr>
            <w:tcW w:w="1413" w:type="dxa"/>
          </w:tcPr>
          <w:p w:rsidR="00334A35" w:rsidRPr="00E75BB9" w:rsidRDefault="00334A35" w:rsidP="00334A35">
            <w:pPr>
              <w:pStyle w:val="TableParagraph"/>
              <w:spacing w:line="310" w:lineRule="exact"/>
              <w:ind w:left="20" w:right="1"/>
              <w:jc w:val="center"/>
              <w:rPr>
                <w:sz w:val="28"/>
                <w:lang w:val="ru-RU"/>
              </w:rPr>
            </w:pPr>
            <w:r>
              <w:rPr>
                <w:sz w:val="28"/>
                <w:lang w:val="ru-RU"/>
              </w:rPr>
              <w:t>16 205,18</w:t>
            </w:r>
          </w:p>
        </w:tc>
      </w:tr>
      <w:tr w:rsidR="00334A35" w:rsidTr="00334A35">
        <w:trPr>
          <w:trHeight w:val="321"/>
        </w:trPr>
        <w:tc>
          <w:tcPr>
            <w:tcW w:w="679" w:type="dxa"/>
          </w:tcPr>
          <w:p w:rsidR="00334A35" w:rsidRDefault="00334A35" w:rsidP="00334A35">
            <w:pPr>
              <w:pStyle w:val="TableParagraph"/>
              <w:spacing w:line="301" w:lineRule="exact"/>
              <w:ind w:left="47"/>
              <w:jc w:val="center"/>
              <w:rPr>
                <w:sz w:val="28"/>
              </w:rPr>
            </w:pPr>
            <w:r>
              <w:rPr>
                <w:spacing w:val="-10"/>
                <w:sz w:val="28"/>
              </w:rPr>
              <w:t>2</w:t>
            </w:r>
          </w:p>
        </w:tc>
        <w:tc>
          <w:tcPr>
            <w:tcW w:w="1908" w:type="dxa"/>
          </w:tcPr>
          <w:p w:rsidR="00334A35" w:rsidRDefault="00334A35" w:rsidP="00334A35">
            <w:pPr>
              <w:pStyle w:val="TableParagraph"/>
              <w:spacing w:line="301" w:lineRule="exact"/>
              <w:ind w:left="117"/>
              <w:rPr>
                <w:sz w:val="28"/>
              </w:rPr>
            </w:pPr>
            <w:r>
              <w:rPr>
                <w:spacing w:val="-2"/>
                <w:sz w:val="28"/>
              </w:rPr>
              <w:t>Furniture</w:t>
            </w:r>
          </w:p>
        </w:tc>
        <w:tc>
          <w:tcPr>
            <w:tcW w:w="1415" w:type="dxa"/>
          </w:tcPr>
          <w:p w:rsidR="00334A35" w:rsidRDefault="00334A35" w:rsidP="00334A35">
            <w:pPr>
              <w:pStyle w:val="TableParagraph"/>
              <w:spacing w:line="301" w:lineRule="exact"/>
              <w:ind w:left="40"/>
              <w:jc w:val="center"/>
              <w:rPr>
                <w:sz w:val="28"/>
              </w:rPr>
            </w:pPr>
            <w:r>
              <w:rPr>
                <w:sz w:val="28"/>
              </w:rPr>
              <w:t>14</w:t>
            </w:r>
            <w:r>
              <w:rPr>
                <w:spacing w:val="-1"/>
                <w:sz w:val="28"/>
              </w:rPr>
              <w:t xml:space="preserve"> </w:t>
            </w:r>
            <w:r>
              <w:rPr>
                <w:spacing w:val="-2"/>
                <w:sz w:val="28"/>
              </w:rPr>
              <w:t>015,14</w:t>
            </w:r>
          </w:p>
        </w:tc>
        <w:tc>
          <w:tcPr>
            <w:tcW w:w="1418" w:type="dxa"/>
          </w:tcPr>
          <w:p w:rsidR="00334A35" w:rsidRDefault="00334A35" w:rsidP="00334A35">
            <w:pPr>
              <w:pStyle w:val="TableParagraph"/>
              <w:spacing w:line="301" w:lineRule="exact"/>
              <w:ind w:left="45"/>
              <w:jc w:val="center"/>
              <w:rPr>
                <w:sz w:val="28"/>
              </w:rPr>
            </w:pPr>
            <w:r>
              <w:rPr>
                <w:sz w:val="28"/>
              </w:rPr>
              <w:t>14</w:t>
            </w:r>
            <w:r>
              <w:rPr>
                <w:spacing w:val="-3"/>
                <w:sz w:val="28"/>
              </w:rPr>
              <w:t xml:space="preserve"> </w:t>
            </w:r>
            <w:r>
              <w:rPr>
                <w:spacing w:val="-2"/>
                <w:sz w:val="28"/>
              </w:rPr>
              <w:t>418,19</w:t>
            </w:r>
          </w:p>
        </w:tc>
        <w:tc>
          <w:tcPr>
            <w:tcW w:w="1417" w:type="dxa"/>
          </w:tcPr>
          <w:p w:rsidR="00334A35" w:rsidRDefault="00334A35" w:rsidP="00334A35">
            <w:pPr>
              <w:pStyle w:val="TableParagraph"/>
              <w:spacing w:line="301" w:lineRule="exact"/>
              <w:ind w:left="20"/>
              <w:jc w:val="center"/>
              <w:rPr>
                <w:sz w:val="28"/>
              </w:rPr>
            </w:pPr>
            <w:r>
              <w:rPr>
                <w:sz w:val="28"/>
              </w:rPr>
              <w:t>117</w:t>
            </w:r>
            <w:r>
              <w:rPr>
                <w:spacing w:val="-1"/>
                <w:sz w:val="28"/>
              </w:rPr>
              <w:t xml:space="preserve"> </w:t>
            </w:r>
            <w:r>
              <w:rPr>
                <w:spacing w:val="-2"/>
                <w:sz w:val="28"/>
              </w:rPr>
              <w:t>006,80</w:t>
            </w:r>
          </w:p>
        </w:tc>
        <w:tc>
          <w:tcPr>
            <w:tcW w:w="1418" w:type="dxa"/>
          </w:tcPr>
          <w:p w:rsidR="00334A35" w:rsidRPr="00E75BB9" w:rsidRDefault="00334A35" w:rsidP="00334A35">
            <w:pPr>
              <w:pStyle w:val="TableParagraph"/>
              <w:spacing w:line="301" w:lineRule="exact"/>
              <w:ind w:left="45"/>
              <w:jc w:val="center"/>
              <w:rPr>
                <w:sz w:val="28"/>
                <w:lang w:val="ru-RU"/>
              </w:rPr>
            </w:pPr>
            <w:r>
              <w:rPr>
                <w:sz w:val="28"/>
                <w:lang w:val="ru-RU"/>
              </w:rPr>
              <w:t>72 700,43</w:t>
            </w:r>
          </w:p>
        </w:tc>
        <w:tc>
          <w:tcPr>
            <w:tcW w:w="1413" w:type="dxa"/>
          </w:tcPr>
          <w:p w:rsidR="00334A35" w:rsidRPr="00E75BB9" w:rsidRDefault="00334A35" w:rsidP="00334A35">
            <w:pPr>
              <w:pStyle w:val="TableParagraph"/>
              <w:spacing w:line="301" w:lineRule="exact"/>
              <w:ind w:left="20"/>
              <w:jc w:val="center"/>
              <w:rPr>
                <w:sz w:val="28"/>
                <w:lang w:val="ru-RU"/>
              </w:rPr>
            </w:pPr>
            <w:r>
              <w:rPr>
                <w:sz w:val="28"/>
                <w:lang w:val="ru-RU"/>
              </w:rPr>
              <w:t>67 186,22</w:t>
            </w:r>
          </w:p>
        </w:tc>
      </w:tr>
      <w:tr w:rsidR="00334A35" w:rsidTr="00334A35">
        <w:trPr>
          <w:trHeight w:val="602"/>
        </w:trPr>
        <w:tc>
          <w:tcPr>
            <w:tcW w:w="679" w:type="dxa"/>
          </w:tcPr>
          <w:p w:rsidR="00334A35" w:rsidRDefault="00334A35" w:rsidP="00334A35">
            <w:pPr>
              <w:pStyle w:val="TableParagraph"/>
              <w:spacing w:line="303" w:lineRule="exact"/>
              <w:ind w:left="47"/>
              <w:jc w:val="center"/>
              <w:rPr>
                <w:sz w:val="28"/>
              </w:rPr>
            </w:pPr>
            <w:r>
              <w:rPr>
                <w:spacing w:val="-10"/>
                <w:sz w:val="28"/>
              </w:rPr>
              <w:t>3</w:t>
            </w:r>
          </w:p>
        </w:tc>
        <w:tc>
          <w:tcPr>
            <w:tcW w:w="1908" w:type="dxa"/>
          </w:tcPr>
          <w:p w:rsidR="00334A35" w:rsidRDefault="00334A35" w:rsidP="00334A35">
            <w:pPr>
              <w:pStyle w:val="TableParagraph"/>
              <w:ind w:left="117"/>
              <w:rPr>
                <w:sz w:val="28"/>
              </w:rPr>
            </w:pPr>
            <w:r>
              <w:rPr>
                <w:sz w:val="28"/>
              </w:rPr>
              <w:t xml:space="preserve">Another </w:t>
            </w:r>
            <w:r>
              <w:rPr>
                <w:spacing w:val="-4"/>
                <w:sz w:val="28"/>
              </w:rPr>
              <w:t>technique</w:t>
            </w:r>
          </w:p>
        </w:tc>
        <w:tc>
          <w:tcPr>
            <w:tcW w:w="1415" w:type="dxa"/>
          </w:tcPr>
          <w:p w:rsidR="00334A35" w:rsidRDefault="00334A35" w:rsidP="00334A35">
            <w:pPr>
              <w:pStyle w:val="TableParagraph"/>
              <w:spacing w:line="303" w:lineRule="exact"/>
              <w:ind w:left="40"/>
              <w:jc w:val="center"/>
              <w:rPr>
                <w:sz w:val="28"/>
              </w:rPr>
            </w:pPr>
            <w:r>
              <w:rPr>
                <w:sz w:val="28"/>
              </w:rPr>
              <w:t>11</w:t>
            </w:r>
            <w:r>
              <w:rPr>
                <w:spacing w:val="-1"/>
                <w:sz w:val="28"/>
              </w:rPr>
              <w:t xml:space="preserve"> </w:t>
            </w:r>
            <w:r>
              <w:rPr>
                <w:spacing w:val="-2"/>
                <w:sz w:val="28"/>
              </w:rPr>
              <w:t>750,47</w:t>
            </w:r>
          </w:p>
        </w:tc>
        <w:tc>
          <w:tcPr>
            <w:tcW w:w="1418" w:type="dxa"/>
          </w:tcPr>
          <w:p w:rsidR="00334A35" w:rsidRDefault="00334A35" w:rsidP="00334A35">
            <w:pPr>
              <w:pStyle w:val="TableParagraph"/>
              <w:spacing w:line="303" w:lineRule="exact"/>
              <w:ind w:left="45"/>
              <w:jc w:val="center"/>
              <w:rPr>
                <w:sz w:val="28"/>
              </w:rPr>
            </w:pPr>
            <w:r>
              <w:rPr>
                <w:sz w:val="28"/>
              </w:rPr>
              <w:t>44</w:t>
            </w:r>
            <w:r>
              <w:rPr>
                <w:spacing w:val="-3"/>
                <w:sz w:val="28"/>
              </w:rPr>
              <w:t xml:space="preserve"> </w:t>
            </w:r>
            <w:r>
              <w:rPr>
                <w:spacing w:val="-2"/>
                <w:sz w:val="28"/>
              </w:rPr>
              <w:t>725,54</w:t>
            </w:r>
          </w:p>
        </w:tc>
        <w:tc>
          <w:tcPr>
            <w:tcW w:w="1417" w:type="dxa"/>
          </w:tcPr>
          <w:p w:rsidR="00334A35" w:rsidRDefault="00334A35" w:rsidP="00334A35">
            <w:pPr>
              <w:pStyle w:val="TableParagraph"/>
              <w:spacing w:line="303" w:lineRule="exact"/>
              <w:ind w:left="20"/>
              <w:jc w:val="center"/>
              <w:rPr>
                <w:sz w:val="28"/>
              </w:rPr>
            </w:pPr>
            <w:r>
              <w:rPr>
                <w:sz w:val="28"/>
              </w:rPr>
              <w:t>355</w:t>
            </w:r>
            <w:r>
              <w:rPr>
                <w:spacing w:val="-1"/>
                <w:sz w:val="28"/>
              </w:rPr>
              <w:t xml:space="preserve"> </w:t>
            </w:r>
            <w:r>
              <w:rPr>
                <w:spacing w:val="-2"/>
                <w:sz w:val="28"/>
              </w:rPr>
              <w:t>084,00</w:t>
            </w:r>
          </w:p>
        </w:tc>
        <w:tc>
          <w:tcPr>
            <w:tcW w:w="1418" w:type="dxa"/>
          </w:tcPr>
          <w:p w:rsidR="00334A35" w:rsidRPr="00E75BB9" w:rsidRDefault="00334A35" w:rsidP="00334A35">
            <w:pPr>
              <w:pStyle w:val="TableParagraph"/>
              <w:spacing w:line="303" w:lineRule="exact"/>
              <w:ind w:left="45"/>
              <w:jc w:val="center"/>
              <w:rPr>
                <w:sz w:val="28"/>
                <w:lang w:val="ru-RU"/>
              </w:rPr>
            </w:pPr>
            <w:r>
              <w:rPr>
                <w:sz w:val="28"/>
                <w:lang w:val="ru-RU"/>
              </w:rPr>
              <w:t>62 260,88</w:t>
            </w:r>
          </w:p>
        </w:tc>
        <w:tc>
          <w:tcPr>
            <w:tcW w:w="1413" w:type="dxa"/>
          </w:tcPr>
          <w:p w:rsidR="00334A35" w:rsidRPr="00E75BB9" w:rsidRDefault="00334A35" w:rsidP="00334A35">
            <w:pPr>
              <w:pStyle w:val="TableParagraph"/>
              <w:spacing w:line="303" w:lineRule="exact"/>
              <w:ind w:left="20"/>
              <w:jc w:val="center"/>
              <w:rPr>
                <w:sz w:val="28"/>
                <w:lang w:val="ru-RU"/>
              </w:rPr>
            </w:pPr>
            <w:r>
              <w:rPr>
                <w:sz w:val="28"/>
                <w:lang w:val="ru-RU"/>
              </w:rPr>
              <w:t>28 876,76</w:t>
            </w:r>
          </w:p>
        </w:tc>
      </w:tr>
      <w:tr w:rsidR="00334A35" w:rsidTr="00334A35">
        <w:trPr>
          <w:trHeight w:val="321"/>
        </w:trPr>
        <w:tc>
          <w:tcPr>
            <w:tcW w:w="679" w:type="dxa"/>
          </w:tcPr>
          <w:p w:rsidR="00334A35" w:rsidRDefault="00334A35" w:rsidP="00334A35">
            <w:pPr>
              <w:pStyle w:val="TableParagraph"/>
              <w:spacing w:line="240" w:lineRule="auto"/>
              <w:ind w:left="0"/>
              <w:rPr>
                <w:sz w:val="24"/>
              </w:rPr>
            </w:pPr>
          </w:p>
        </w:tc>
        <w:tc>
          <w:tcPr>
            <w:tcW w:w="1908" w:type="dxa"/>
          </w:tcPr>
          <w:p w:rsidR="00334A35" w:rsidRDefault="00334A35" w:rsidP="00334A35">
            <w:pPr>
              <w:pStyle w:val="TableParagraph"/>
              <w:ind w:left="117"/>
              <w:rPr>
                <w:b/>
                <w:sz w:val="28"/>
              </w:rPr>
            </w:pPr>
            <w:r>
              <w:rPr>
                <w:b/>
                <w:spacing w:val="-2"/>
                <w:sz w:val="28"/>
              </w:rPr>
              <w:t>Everything</w:t>
            </w:r>
          </w:p>
        </w:tc>
        <w:tc>
          <w:tcPr>
            <w:tcW w:w="1415" w:type="dxa"/>
          </w:tcPr>
          <w:p w:rsidR="00334A35" w:rsidRDefault="00334A35" w:rsidP="00334A35">
            <w:pPr>
              <w:pStyle w:val="TableParagraph"/>
              <w:ind w:left="40"/>
              <w:jc w:val="center"/>
              <w:rPr>
                <w:b/>
                <w:sz w:val="28"/>
              </w:rPr>
            </w:pPr>
            <w:r>
              <w:rPr>
                <w:b/>
                <w:sz w:val="28"/>
              </w:rPr>
              <w:t>40</w:t>
            </w:r>
            <w:r>
              <w:rPr>
                <w:b/>
                <w:spacing w:val="-1"/>
                <w:sz w:val="28"/>
              </w:rPr>
              <w:t xml:space="preserve"> </w:t>
            </w:r>
            <w:r>
              <w:rPr>
                <w:b/>
                <w:spacing w:val="-2"/>
                <w:sz w:val="28"/>
              </w:rPr>
              <w:t>718,59</w:t>
            </w:r>
          </w:p>
        </w:tc>
        <w:tc>
          <w:tcPr>
            <w:tcW w:w="1418" w:type="dxa"/>
          </w:tcPr>
          <w:p w:rsidR="00334A35" w:rsidRDefault="00334A35" w:rsidP="00334A35">
            <w:pPr>
              <w:pStyle w:val="TableParagraph"/>
              <w:ind w:left="45"/>
              <w:jc w:val="center"/>
              <w:rPr>
                <w:b/>
                <w:sz w:val="28"/>
              </w:rPr>
            </w:pPr>
            <w:r>
              <w:rPr>
                <w:b/>
                <w:sz w:val="28"/>
              </w:rPr>
              <w:t>87</w:t>
            </w:r>
            <w:r>
              <w:rPr>
                <w:b/>
                <w:spacing w:val="-3"/>
                <w:sz w:val="28"/>
              </w:rPr>
              <w:t xml:space="preserve"> </w:t>
            </w:r>
            <w:r>
              <w:rPr>
                <w:b/>
                <w:spacing w:val="-2"/>
                <w:sz w:val="28"/>
              </w:rPr>
              <w:t>427,59</w:t>
            </w:r>
          </w:p>
        </w:tc>
        <w:tc>
          <w:tcPr>
            <w:tcW w:w="1417" w:type="dxa"/>
          </w:tcPr>
          <w:p w:rsidR="00334A35" w:rsidRDefault="00334A35" w:rsidP="00334A35">
            <w:pPr>
              <w:pStyle w:val="TableParagraph"/>
              <w:ind w:left="20"/>
              <w:jc w:val="center"/>
              <w:rPr>
                <w:b/>
                <w:sz w:val="28"/>
              </w:rPr>
            </w:pPr>
            <w:r>
              <w:rPr>
                <w:b/>
                <w:sz w:val="28"/>
              </w:rPr>
              <w:t>496</w:t>
            </w:r>
            <w:r>
              <w:rPr>
                <w:b/>
                <w:spacing w:val="-1"/>
                <w:sz w:val="28"/>
              </w:rPr>
              <w:t xml:space="preserve"> </w:t>
            </w:r>
            <w:r>
              <w:rPr>
                <w:b/>
                <w:spacing w:val="-2"/>
                <w:sz w:val="28"/>
              </w:rPr>
              <w:t>357,90</w:t>
            </w:r>
          </w:p>
        </w:tc>
        <w:tc>
          <w:tcPr>
            <w:tcW w:w="1418" w:type="dxa"/>
          </w:tcPr>
          <w:p w:rsidR="00334A35" w:rsidRPr="00E75BB9" w:rsidRDefault="00334A35" w:rsidP="00334A35">
            <w:pPr>
              <w:pStyle w:val="TableParagraph"/>
              <w:ind w:left="45"/>
              <w:jc w:val="center"/>
              <w:rPr>
                <w:b/>
                <w:sz w:val="28"/>
                <w:lang w:val="ru-RU"/>
              </w:rPr>
            </w:pPr>
            <w:r>
              <w:rPr>
                <w:b/>
                <w:sz w:val="28"/>
                <w:lang w:val="ru-RU"/>
              </w:rPr>
              <w:t>154 765,82</w:t>
            </w:r>
          </w:p>
        </w:tc>
        <w:tc>
          <w:tcPr>
            <w:tcW w:w="1413" w:type="dxa"/>
          </w:tcPr>
          <w:p w:rsidR="00334A35" w:rsidRPr="00E75BB9" w:rsidRDefault="00334A35" w:rsidP="00334A35">
            <w:pPr>
              <w:pStyle w:val="TableParagraph"/>
              <w:ind w:left="20"/>
              <w:jc w:val="center"/>
              <w:rPr>
                <w:b/>
                <w:sz w:val="28"/>
                <w:lang w:val="ru-RU"/>
              </w:rPr>
            </w:pPr>
            <w:r>
              <w:rPr>
                <w:b/>
                <w:sz w:val="28"/>
                <w:lang w:val="ru-RU"/>
              </w:rPr>
              <w:t>112 268,16</w:t>
            </w:r>
          </w:p>
        </w:tc>
      </w:tr>
    </w:tbl>
    <w:p w:rsidR="0037496A" w:rsidRDefault="00C84A3F">
      <w:pPr>
        <w:pStyle w:val="a3"/>
        <w:spacing w:before="315"/>
        <w:ind w:right="706" w:firstLine="705"/>
      </w:pPr>
      <w:r>
        <w:t>The dynamics of the university's development is characterized by stability, as risks are taken into account when planning the indicators of income and expenses (acceptance of students on a grant, receipt of income during paid education when the population's ability to pay is low, providing discounts on education, reducing the cost of meals in the student canteen, providing free accommodation for students, etc. b.), the urgency of holding certain large-scale events, the need to purchase basic equipment</w:t>
      </w:r>
      <w:r>
        <w:rPr>
          <w:spacing w:val="80"/>
        </w:rPr>
        <w:t xml:space="preserve"> </w:t>
      </w:r>
      <w:r>
        <w:t>and so on. When there are negative indicators in the budget of the university, which lead to a decrease in the amount of planned revenues of the revenue department, alternative ways of development are also considered: strict savings on the purchase and consumption of goods, utility costs, optimization of the number of staff and other measures for the optimal use of available opportunities are established.</w:t>
      </w:r>
      <w:r>
        <w:rPr>
          <w:spacing w:val="40"/>
        </w:rPr>
        <w:t xml:space="preserve"> </w:t>
      </w:r>
      <w:r>
        <w:t>is conducted.</w:t>
      </w:r>
    </w:p>
    <w:sectPr w:rsidR="0037496A">
      <w:pgSz w:w="11930" w:h="16860"/>
      <w:pgMar w:top="1020" w:right="1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80D76"/>
    <w:multiLevelType w:val="hybridMultilevel"/>
    <w:tmpl w:val="46A454A8"/>
    <w:lvl w:ilvl="0" w:tplc="4D2618A0">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tplc="136203D0">
      <w:numFmt w:val="bullet"/>
      <w:lvlText w:val="•"/>
      <w:lvlJc w:val="left"/>
      <w:pPr>
        <w:ind w:left="2184" w:hanging="360"/>
      </w:pPr>
      <w:rPr>
        <w:rFonts w:hint="default"/>
        <w:lang w:val="kk-KZ" w:eastAsia="en-US" w:bidi="ar-SA"/>
      </w:rPr>
    </w:lvl>
    <w:lvl w:ilvl="2" w:tplc="C374D972">
      <w:numFmt w:val="bullet"/>
      <w:lvlText w:val="•"/>
      <w:lvlJc w:val="left"/>
      <w:pPr>
        <w:ind w:left="3088" w:hanging="360"/>
      </w:pPr>
      <w:rPr>
        <w:rFonts w:hint="default"/>
        <w:lang w:val="kk-KZ" w:eastAsia="en-US" w:bidi="ar-SA"/>
      </w:rPr>
    </w:lvl>
    <w:lvl w:ilvl="3" w:tplc="6ECE621A">
      <w:numFmt w:val="bullet"/>
      <w:lvlText w:val="•"/>
      <w:lvlJc w:val="left"/>
      <w:pPr>
        <w:ind w:left="3992" w:hanging="360"/>
      </w:pPr>
      <w:rPr>
        <w:rFonts w:hint="default"/>
        <w:lang w:val="kk-KZ" w:eastAsia="en-US" w:bidi="ar-SA"/>
      </w:rPr>
    </w:lvl>
    <w:lvl w:ilvl="4" w:tplc="E1ECD214">
      <w:numFmt w:val="bullet"/>
      <w:lvlText w:val="•"/>
      <w:lvlJc w:val="left"/>
      <w:pPr>
        <w:ind w:left="4896" w:hanging="360"/>
      </w:pPr>
      <w:rPr>
        <w:rFonts w:hint="default"/>
        <w:lang w:val="kk-KZ" w:eastAsia="en-US" w:bidi="ar-SA"/>
      </w:rPr>
    </w:lvl>
    <w:lvl w:ilvl="5" w:tplc="0006357A">
      <w:numFmt w:val="bullet"/>
      <w:lvlText w:val="•"/>
      <w:lvlJc w:val="left"/>
      <w:pPr>
        <w:ind w:left="5800" w:hanging="360"/>
      </w:pPr>
      <w:rPr>
        <w:rFonts w:hint="default"/>
        <w:lang w:val="kk-KZ" w:eastAsia="en-US" w:bidi="ar-SA"/>
      </w:rPr>
    </w:lvl>
    <w:lvl w:ilvl="6" w:tplc="EDD8029E">
      <w:numFmt w:val="bullet"/>
      <w:lvlText w:val="•"/>
      <w:lvlJc w:val="left"/>
      <w:pPr>
        <w:ind w:left="6704" w:hanging="360"/>
      </w:pPr>
      <w:rPr>
        <w:rFonts w:hint="default"/>
        <w:lang w:val="kk-KZ" w:eastAsia="en-US" w:bidi="ar-SA"/>
      </w:rPr>
    </w:lvl>
    <w:lvl w:ilvl="7" w:tplc="E1BC68B8">
      <w:numFmt w:val="bullet"/>
      <w:lvlText w:val="•"/>
      <w:lvlJc w:val="left"/>
      <w:pPr>
        <w:ind w:left="7608" w:hanging="360"/>
      </w:pPr>
      <w:rPr>
        <w:rFonts w:hint="default"/>
        <w:lang w:val="kk-KZ" w:eastAsia="en-US" w:bidi="ar-SA"/>
      </w:rPr>
    </w:lvl>
    <w:lvl w:ilvl="8" w:tplc="D3B674EA">
      <w:numFmt w:val="bullet"/>
      <w:lvlText w:val="•"/>
      <w:lvlJc w:val="left"/>
      <w:pPr>
        <w:ind w:left="8512" w:hanging="360"/>
      </w:pPr>
      <w:rPr>
        <w:rFonts w:hint="default"/>
        <w:lang w:val="kk-KZ" w:eastAsia="en-US" w:bidi="ar-SA"/>
      </w:rPr>
    </w:lvl>
  </w:abstractNum>
  <w:abstractNum w:abstractNumId="1" w15:restartNumberingAfterBreak="0">
    <w:nsid w:val="37527AB5"/>
    <w:multiLevelType w:val="hybridMultilevel"/>
    <w:tmpl w:val="8EC6A4A0"/>
    <w:lvl w:ilvl="0" w:tplc="360832D8">
      <w:start w:val="1"/>
      <w:numFmt w:val="decimal"/>
      <w:lvlText w:val="%1."/>
      <w:lvlJc w:val="left"/>
      <w:pPr>
        <w:ind w:left="219" w:hanging="296"/>
      </w:pPr>
      <w:rPr>
        <w:rFonts w:ascii="Times New Roman" w:eastAsia="Times New Roman" w:hAnsi="Times New Roman" w:cs="Times New Roman" w:hint="default"/>
        <w:b w:val="0"/>
        <w:bCs w:val="0"/>
        <w:i w:val="0"/>
        <w:iCs w:val="0"/>
        <w:spacing w:val="0"/>
        <w:w w:val="90"/>
        <w:sz w:val="28"/>
        <w:szCs w:val="28"/>
        <w:lang w:val="kk-KZ" w:eastAsia="en-US" w:bidi="ar-SA"/>
      </w:rPr>
    </w:lvl>
    <w:lvl w:ilvl="1" w:tplc="18F0FA04">
      <w:numFmt w:val="bullet"/>
      <w:lvlText w:val="•"/>
      <w:lvlJc w:val="left"/>
      <w:pPr>
        <w:ind w:left="1230" w:hanging="296"/>
      </w:pPr>
      <w:rPr>
        <w:rFonts w:hint="default"/>
        <w:lang w:val="kk-KZ" w:eastAsia="en-US" w:bidi="ar-SA"/>
      </w:rPr>
    </w:lvl>
    <w:lvl w:ilvl="2" w:tplc="0F8CA98E">
      <w:numFmt w:val="bullet"/>
      <w:lvlText w:val="•"/>
      <w:lvlJc w:val="left"/>
      <w:pPr>
        <w:ind w:left="2240" w:hanging="296"/>
      </w:pPr>
      <w:rPr>
        <w:rFonts w:hint="default"/>
        <w:lang w:val="kk-KZ" w:eastAsia="en-US" w:bidi="ar-SA"/>
      </w:rPr>
    </w:lvl>
    <w:lvl w:ilvl="3" w:tplc="21F06D98">
      <w:numFmt w:val="bullet"/>
      <w:lvlText w:val="•"/>
      <w:lvlJc w:val="left"/>
      <w:pPr>
        <w:ind w:left="3250" w:hanging="296"/>
      </w:pPr>
      <w:rPr>
        <w:rFonts w:hint="default"/>
        <w:lang w:val="kk-KZ" w:eastAsia="en-US" w:bidi="ar-SA"/>
      </w:rPr>
    </w:lvl>
    <w:lvl w:ilvl="4" w:tplc="C1B60776">
      <w:numFmt w:val="bullet"/>
      <w:lvlText w:val="•"/>
      <w:lvlJc w:val="left"/>
      <w:pPr>
        <w:ind w:left="4260" w:hanging="296"/>
      </w:pPr>
      <w:rPr>
        <w:rFonts w:hint="default"/>
        <w:lang w:val="kk-KZ" w:eastAsia="en-US" w:bidi="ar-SA"/>
      </w:rPr>
    </w:lvl>
    <w:lvl w:ilvl="5" w:tplc="AFA042A4">
      <w:numFmt w:val="bullet"/>
      <w:lvlText w:val="•"/>
      <w:lvlJc w:val="left"/>
      <w:pPr>
        <w:ind w:left="5270" w:hanging="296"/>
      </w:pPr>
      <w:rPr>
        <w:rFonts w:hint="default"/>
        <w:lang w:val="kk-KZ" w:eastAsia="en-US" w:bidi="ar-SA"/>
      </w:rPr>
    </w:lvl>
    <w:lvl w:ilvl="6" w:tplc="0D76C024">
      <w:numFmt w:val="bullet"/>
      <w:lvlText w:val="•"/>
      <w:lvlJc w:val="left"/>
      <w:pPr>
        <w:ind w:left="6280" w:hanging="296"/>
      </w:pPr>
      <w:rPr>
        <w:rFonts w:hint="default"/>
        <w:lang w:val="kk-KZ" w:eastAsia="en-US" w:bidi="ar-SA"/>
      </w:rPr>
    </w:lvl>
    <w:lvl w:ilvl="7" w:tplc="A1B4FAF4">
      <w:numFmt w:val="bullet"/>
      <w:lvlText w:val="•"/>
      <w:lvlJc w:val="left"/>
      <w:pPr>
        <w:ind w:left="7290" w:hanging="296"/>
      </w:pPr>
      <w:rPr>
        <w:rFonts w:hint="default"/>
        <w:lang w:val="kk-KZ" w:eastAsia="en-US" w:bidi="ar-SA"/>
      </w:rPr>
    </w:lvl>
    <w:lvl w:ilvl="8" w:tplc="0526CC54">
      <w:numFmt w:val="bullet"/>
      <w:lvlText w:val="•"/>
      <w:lvlJc w:val="left"/>
      <w:pPr>
        <w:ind w:left="8300" w:hanging="296"/>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7496A"/>
    <w:rsid w:val="00334A35"/>
    <w:rsid w:val="0037496A"/>
    <w:rsid w:val="00980BA9"/>
    <w:rsid w:val="00C8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AA32"/>
  <w15:docId w15:val="{E7ED2789-96CC-4EC8-8AD4-B230618D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right="50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jc w:val="both"/>
    </w:pPr>
    <w:rPr>
      <w:sz w:val="28"/>
      <w:szCs w:val="28"/>
    </w:rPr>
  </w:style>
  <w:style w:type="paragraph" w:styleId="a4">
    <w:name w:val="List Paragraph"/>
    <w:basedOn w:val="a"/>
    <w:uiPriority w:val="1"/>
    <w:qFormat/>
    <w:pPr>
      <w:ind w:left="219"/>
      <w:jc w:val="both"/>
    </w:pPr>
  </w:style>
  <w:style w:type="paragraph" w:customStyle="1" w:styleId="TableParagraph">
    <w:name w:val="Table Paragraph"/>
    <w:basedOn w:val="a"/>
    <w:uiPriority w:val="1"/>
    <w:qFormat/>
    <w:pPr>
      <w:spacing w:line="300" w:lineRule="exact"/>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8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1792</Words>
  <Characters>10219</Characters>
  <Application>Microsoft Office Word</Application>
  <DocSecurity>0</DocSecurity>
  <Lines>85</Lines>
  <Paragraphs>23</Paragraphs>
  <ScaleCrop>false</ScaleCrop>
  <Company>SPecialiST RePack</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2024-05-27T05:16:00Z</dcterms:created>
  <dcterms:modified xsi:type="dcterms:W3CDTF">2025-10-15T07:12:00Z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www.ilovepdf.com</vt:lpwstr>
  </property>
</Properties>
</file>